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7B7" w:rsidRPr="00E64B5E" w:rsidRDefault="009E67B7" w:rsidP="00222E28">
      <w:pPr>
        <w:widowControl w:val="0"/>
        <w:autoSpaceDE w:val="0"/>
        <w:autoSpaceDN w:val="0"/>
        <w:adjustRightInd w:val="0"/>
        <w:spacing w:line="480" w:lineRule="auto"/>
        <w:jc w:val="both"/>
        <w:rPr>
          <w:rFonts w:ascii="Times New Roman" w:hAnsi="Times New Roman" w:cs="Times New Roman"/>
          <w:sz w:val="22"/>
          <w:szCs w:val="22"/>
        </w:rPr>
      </w:pPr>
      <w:r w:rsidRPr="00E64B5E">
        <w:rPr>
          <w:rFonts w:ascii="Times New Roman" w:hAnsi="Times New Roman" w:cs="Times New Roman"/>
          <w:b/>
          <w:sz w:val="22"/>
          <w:szCs w:val="22"/>
        </w:rPr>
        <w:t>Appendix</w:t>
      </w:r>
    </w:p>
    <w:p w:rsidR="009E67B7" w:rsidRPr="00E64B5E" w:rsidRDefault="009E67B7" w:rsidP="00222E28">
      <w:pPr>
        <w:spacing w:line="480" w:lineRule="auto"/>
        <w:jc w:val="both"/>
        <w:outlineLvl w:val="0"/>
        <w:rPr>
          <w:rFonts w:ascii="Times New Roman" w:hAnsi="Times New Roman" w:cs="Times New Roman"/>
          <w:b/>
          <w:sz w:val="22"/>
          <w:szCs w:val="22"/>
        </w:rPr>
      </w:pPr>
      <w:r>
        <w:rPr>
          <w:rFonts w:ascii="Times New Roman" w:hAnsi="Times New Roman" w:cs="Times New Roman"/>
          <w:b/>
          <w:sz w:val="22"/>
          <w:szCs w:val="22"/>
        </w:rPr>
        <w:t xml:space="preserve">A.1 </w:t>
      </w:r>
      <w:r w:rsidRPr="00E64B5E">
        <w:rPr>
          <w:rFonts w:ascii="Times New Roman" w:hAnsi="Times New Roman" w:cs="Times New Roman"/>
          <w:b/>
          <w:sz w:val="22"/>
          <w:szCs w:val="22"/>
        </w:rPr>
        <w:t xml:space="preserve">Macro-kinetic model of </w:t>
      </w:r>
      <w:r w:rsidRPr="00E64B5E">
        <w:rPr>
          <w:rFonts w:ascii="Times New Roman" w:hAnsi="Times New Roman" w:cs="Times New Roman"/>
          <w:b/>
          <w:i/>
          <w:sz w:val="22"/>
          <w:szCs w:val="22"/>
        </w:rPr>
        <w:t>Escherichia coli</w:t>
      </w:r>
    </w:p>
    <w:p w:rsidR="009E67B7" w:rsidRPr="00E64B5E" w:rsidRDefault="009E67B7" w:rsidP="00222E28">
      <w:pPr>
        <w:spacing w:line="480" w:lineRule="auto"/>
        <w:jc w:val="both"/>
        <w:rPr>
          <w:rFonts w:ascii="Times New Roman" w:hAnsi="Times New Roman" w:cs="Times New Roman"/>
          <w:sz w:val="22"/>
          <w:szCs w:val="22"/>
        </w:rPr>
      </w:pPr>
      <w:r w:rsidRPr="00E64B5E">
        <w:rPr>
          <w:rFonts w:ascii="Times New Roman" w:hAnsi="Times New Roman" w:cs="Times New Roman"/>
          <w:sz w:val="22"/>
          <w:szCs w:val="22"/>
        </w:rPr>
        <w:t xml:space="preserve">The mechanistic model of </w:t>
      </w:r>
      <w:r w:rsidRPr="00E64B5E">
        <w:rPr>
          <w:rFonts w:ascii="Times New Roman" w:hAnsi="Times New Roman" w:cs="Times New Roman"/>
          <w:i/>
          <w:sz w:val="22"/>
          <w:szCs w:val="22"/>
        </w:rPr>
        <w:t>E. coli</w:t>
      </w:r>
      <w:r w:rsidRPr="00E64B5E">
        <w:rPr>
          <w:rFonts w:ascii="Times New Roman" w:hAnsi="Times New Roman" w:cs="Times New Roman"/>
          <w:sz w:val="22"/>
          <w:szCs w:val="22"/>
        </w:rPr>
        <w:t xml:space="preserve"> used in this publication is based on the physiological use of glucose, in a glucose partitioning framework as well as the overflow of glucose to acetate through the acetate cycling concept</w:t>
      </w:r>
      <w:r w:rsidRPr="00E64B5E">
        <w:rPr>
          <w:rFonts w:ascii="Times New Roman" w:hAnsi="Times New Roman" w:cs="Times New Roman"/>
          <w:color w:val="000000" w:themeColor="text1"/>
          <w:sz w:val="22"/>
          <w:szCs w:val="22"/>
        </w:rPr>
        <w:t xml:space="preserve">. The two physiological concepts, as given by Neubauer et al. 2000 </w:t>
      </w:r>
      <w:r w:rsidRPr="00E64B5E">
        <w:rPr>
          <w:rFonts w:ascii="Times New Roman" w:hAnsi="Times New Roman" w:cs="Times New Roman"/>
          <w:color w:val="000000" w:themeColor="text1"/>
          <w:sz w:val="22"/>
          <w:szCs w:val="22"/>
        </w:rPr>
        <w:fldChar w:fldCharType="begin" w:fldLock="1"/>
      </w:r>
      <w:r>
        <w:rPr>
          <w:rFonts w:ascii="Times New Roman" w:hAnsi="Times New Roman" w:cs="Times New Roman"/>
          <w:color w:val="000000" w:themeColor="text1"/>
          <w:sz w:val="22"/>
          <w:szCs w:val="22"/>
        </w:rPr>
        <w:instrText>ADDIN CSL_CITATION {"citationItems":[{"id":"ITEM-1","itemData":{"DOI":"10.1016/S0168-1656(00)00217-0","ISBN":"0168-1656 (Print)\\n0168-1656","ISSN":"01681656","PMID":"10817339","abstract":"The influence of glucose oscillations on cell growth and product formation of a recombinant Escherichia coli culture producing a heterologous ??-glucosidase was studied in fed-batch cultures in a laboratory bioreactor. Glucose oscillations were created by an on/off-feeding mode in either fast cycles (1 min) or slow cycles (4 min) and compared to a process with constant glucose addition. The study indicates that glucose oscillations influence the product stability and the overgrowth of plasmid-free cells if such cultures are not performed under continuous pressure for selection of plasmid-containing cells. Although the glucose uptake capacity decreased after induction of the recombinant ??-glucosidase in all cultures performed, the up-growth of plasmid-free cells during the production phase was strongly inhibited by fast oscillations. In contrast, plasmid-free cells grew up when constant feeding or slow cycles were applied. Our data suggest that the various feed protocols effect the specific carbon dioxide formation rate differently, with the highest production of carbon dioxide in the cultivations with fast cycles. In connection to product formation the initial ??-glucosidase accumulation was the same in all cultures, but the stability of the product was significantly lower in the cultivation with slow cycles. Our results from laboratory experiments are discussed in relation to the mixing situation in large-scale bioreactors. Copyright (C) 2000 Elsevier Science B.V.","author":[{"dropping-particle":"","family":"Ying Lin","given":"Hong","non-dropping-particle":"","parse-names":false,"suffix":""},{"dropping-particle":"","family":"Neubauer","given":"Peter","non-dropping-particle":"","parse-names":false,"suffix":""}],"container-title":"Journal of Biotechnology","id":"ITEM-1","issued":{"date-parts":[["2000"]]},"page":"27-37","title":"Influence of controlled glucose oscillations on a fed-batch process of recombinant Escherichia coli","type":"article-journal","volume":"79"},"uris":["http://www.mendeley.com/documents/?uuid=8383a1ca-d63f-4524-a22d-468f193c69d6"]}],"mendeley":{"formattedCitation":"(Ying Lin &amp; Neubauer, 2000)","plainTextFormattedCitation":"(Ying Lin &amp; Neubauer, 2000)","previouslyFormattedCitation":"[35]"},"properties":{"noteIndex":0},"schema":"https://github.com/citation-style-language/schema/raw/master/csl-citation.json"}</w:instrText>
      </w:r>
      <w:r w:rsidRPr="00E64B5E">
        <w:rPr>
          <w:rFonts w:ascii="Times New Roman" w:hAnsi="Times New Roman" w:cs="Times New Roman"/>
          <w:color w:val="000000" w:themeColor="text1"/>
          <w:sz w:val="22"/>
          <w:szCs w:val="22"/>
        </w:rPr>
        <w:fldChar w:fldCharType="separate"/>
      </w:r>
      <w:r w:rsidRPr="00867CFC">
        <w:rPr>
          <w:rFonts w:ascii="Times New Roman" w:hAnsi="Times New Roman" w:cs="Times New Roman"/>
          <w:noProof/>
          <w:color w:val="000000" w:themeColor="text1"/>
          <w:sz w:val="22"/>
          <w:szCs w:val="22"/>
        </w:rPr>
        <w:t>(Ying Lin &amp; Neubauer, 2000)</w:t>
      </w:r>
      <w:r w:rsidRPr="00E64B5E">
        <w:rPr>
          <w:rFonts w:ascii="Times New Roman" w:hAnsi="Times New Roman" w:cs="Times New Roman"/>
          <w:color w:val="000000" w:themeColor="text1"/>
          <w:sz w:val="22"/>
          <w:szCs w:val="22"/>
        </w:rPr>
        <w:fldChar w:fldCharType="end"/>
      </w:r>
      <w:r w:rsidRPr="00E64B5E">
        <w:rPr>
          <w:rFonts w:ascii="Times New Roman" w:hAnsi="Times New Roman" w:cs="Times New Roman"/>
          <w:color w:val="000000" w:themeColor="text1"/>
          <w:sz w:val="22"/>
          <w:szCs w:val="22"/>
        </w:rPr>
        <w:t xml:space="preserve"> and Lin et al., </w:t>
      </w:r>
      <w:r w:rsidRPr="00E64B5E">
        <w:rPr>
          <w:rFonts w:ascii="Times New Roman" w:hAnsi="Times New Roman" w:cs="Times New Roman"/>
          <w:color w:val="000000" w:themeColor="text1"/>
          <w:sz w:val="22"/>
          <w:szCs w:val="22"/>
        </w:rPr>
        <w:fldChar w:fldCharType="begin" w:fldLock="1"/>
      </w:r>
      <w:r>
        <w:rPr>
          <w:rFonts w:ascii="Times New Roman" w:hAnsi="Times New Roman" w:cs="Times New Roman"/>
          <w:color w:val="000000" w:themeColor="text1"/>
          <w:sz w:val="22"/>
          <w:szCs w:val="22"/>
        </w:rPr>
        <w:instrText>ADDIN CSL_CITATION {"citationItems":[{"id":"ITEM-1","itemData":{"DOI":"10.1002/bit.1068","ISBN":"0006-3592 (Print)\\n0006-3592","ISSN":"00063592","PMID":"11320505","abstract":"A simple pulse-based method for the determination of the maximum uptake capacities for glucose and oxygen in glucose limited cultivations of E. coli is presented. The method does not depend on the time-consuming analysis of glucose or acetate, and therefore can be used to control the feed rate in glucose limited cultivations, such as fed-batch processes. The application of this method in fed-batch processes of E. coli showed that the uptake capacity for neither glucose nor oxygen is a constant parameter, as often is assumed in fed-batch models. The glucose uptake capacity decreased significantly when the specific growth rate decreased below 0.15 h(-1) and fell to about 0.6 mmol g(-1) h(-1) (mmol per g cell dry weight and hour) at the end of fed-batch fermentations, where specific growth rate was approximately 0.02 h(-1). The oxygen uptake capacity started to decrease somewhat earlier when specific growth rate declined below 0.25 h(-1) and was 5 mmol g(-1) h(-1) at the end of the fermentations. The behavior of both uptake systems is integrated in a dynamic model which allows a better fitting of experimental values for glucose in fed-batch processes in comparison to generally used unstructured kinetic models.","author":[{"dropping-particle":"","family":"Lin","given":"H. Y.","non-dropping-particle":"","parse-names":false,"suffix":""},{"dropping-particle":"","family":"Mathiszik","given":"B.","non-dropping-particle":"","parse-names":false,"suffix":""},{"dropping-particle":"","family":"Xu","given":"B.","non-dropping-particle":"","parse-names":false,"suffix":""},{"dropping-particle":"","family":"Enfors","given":"S. O.","non-dropping-particle":"","parse-names":false,"suffix":""},{"dropping-particle":"","family":"Neubauer","given":"P.","non-dropping-particle":"","parse-names":false,"suffix":""}],"container-title":"Biotechnology and Bioengineering","id":"ITEM-1","issue":"5","issued":{"date-parts":[["2001"]]},"page":"347-357","title":"Determination of the maximum specific uptake capacities for glucose and oxygen in glucose-limited fed-batch cultivations of Escherichia coli","type":"article-journal","volume":"73"},"uris":["http://www.mendeley.com/documents/?uuid=c7b905b7-5c0c-4f60-bddb-bdf0d034ca68"]}],"mendeley":{"formattedCitation":"(Lin, Mathiszik, Xu, Enfors, &amp; Neubauer, 2001b)","plainTextFormattedCitation":"(Lin, Mathiszik, Xu, Enfors, &amp; Neubauer, 2001b)","previouslyFormattedCitation":"[36]"},"properties":{"noteIndex":0},"schema":"https://github.com/citation-style-language/schema/raw/master/csl-citation.json"}</w:instrText>
      </w:r>
      <w:r w:rsidRPr="00E64B5E">
        <w:rPr>
          <w:rFonts w:ascii="Times New Roman" w:hAnsi="Times New Roman" w:cs="Times New Roman"/>
          <w:color w:val="000000" w:themeColor="text1"/>
          <w:sz w:val="22"/>
          <w:szCs w:val="22"/>
        </w:rPr>
        <w:fldChar w:fldCharType="separate"/>
      </w:r>
      <w:r w:rsidRPr="00867CFC">
        <w:rPr>
          <w:rFonts w:ascii="Times New Roman" w:hAnsi="Times New Roman" w:cs="Times New Roman"/>
          <w:noProof/>
          <w:color w:val="000000" w:themeColor="text1"/>
          <w:sz w:val="22"/>
          <w:szCs w:val="22"/>
        </w:rPr>
        <w:t>(Lin, Mathiszik, Xu, Enfors, &amp; Neubauer, 2001b)</w:t>
      </w:r>
      <w:r w:rsidRPr="00E64B5E">
        <w:rPr>
          <w:rFonts w:ascii="Times New Roman" w:hAnsi="Times New Roman" w:cs="Times New Roman"/>
          <w:color w:val="000000" w:themeColor="text1"/>
          <w:sz w:val="22"/>
          <w:szCs w:val="22"/>
        </w:rPr>
        <w:fldChar w:fldCharType="end"/>
      </w:r>
      <w:r w:rsidRPr="00E64B5E">
        <w:rPr>
          <w:rFonts w:ascii="Times New Roman" w:hAnsi="Times New Roman" w:cs="Times New Roman"/>
          <w:color w:val="000000" w:themeColor="text1"/>
          <w:sz w:val="22"/>
          <w:szCs w:val="22"/>
        </w:rPr>
        <w:t xml:space="preserve"> and basic growth concepts such as Monod kinetics and acetate inhibition are used to derive simple algebraic equations that describe intracellular pathways of glucose and oxygen usage</w:t>
      </w:r>
      <w:r w:rsidRPr="00E64B5E">
        <w:rPr>
          <w:rFonts w:ascii="Times New Roman" w:hAnsi="Times New Roman" w:cs="Times New Roman"/>
          <w:sz w:val="22"/>
          <w:szCs w:val="22"/>
        </w:rPr>
        <w:t xml:space="preserve">. Details on the derivation of the model and its subsequent usage in </w:t>
      </w:r>
      <w:r w:rsidRPr="00E64B5E">
        <w:rPr>
          <w:rFonts w:ascii="Times New Roman" w:hAnsi="Times New Roman" w:cs="Times New Roman"/>
          <w:i/>
          <w:sz w:val="22"/>
          <w:szCs w:val="22"/>
        </w:rPr>
        <w:t>E. coli</w:t>
      </w:r>
      <w:r w:rsidRPr="00E64B5E">
        <w:rPr>
          <w:rFonts w:ascii="Times New Roman" w:hAnsi="Times New Roman" w:cs="Times New Roman"/>
          <w:sz w:val="22"/>
          <w:szCs w:val="22"/>
        </w:rPr>
        <w:t xml:space="preserve"> processes can be found in the literature </w:t>
      </w:r>
      <w:r w:rsidRPr="00E64B5E">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{"citationItems":[{"id":"ITEM-1","itemData":{"DOI":"10.1002/bit.26192","ISBN":"4930314275","ISSN":"00063592","author":[{"dropping-particle":"","family":"Cruz Bournazou","given":"M.N.","non-dropping-particle":"","parse-names":false,"suffix":""},{"dropping-particle":"","family":"Barz","given":"T.","non-dropping-particle":"","parse-names":false,"suffix":""},{"dropping-particle":"","family":"Nickel","given":"D.B.","non-dropping-particle":"","parse-names":false,"suffix":""},{"dropping-particle":"","family":"Lopez Cárdenas","given":"D.C.","non-dropping-particle":"","parse-names":false,"suffix":""},{"dropping-particle":"","family":"Glauche","given":"F.","non-dropping-particle":"","parse-names":false,"suffix":""},{"dropping-particle":"","family":"Knepper","given":"A.","non-dropping-particle":"","parse-names":false,"suffix":""},{"dropping-particle":"","family":"Neubauer","given":"P.","non-dropping-particle":"","parse-names":false,"suffix":""}],"container-title":"Biotechnology and Bioengineering","id":"ITEM-1","issue":"3","issued":{"date-parts":[["2017","3"]]},"page":"610-619","title":"Online optimal experimental re-design in robotic parallel fed-batch cultivation facilities","type":"article-journal","volume":"114"},"uris":["http://www.mendeley.com/documents/?uuid=5e3c218e-1c13-45c0-8c7b-bc37494c11ca"]},{"id":"ITEM-2","itemData":{"DOI":"10.1016/j.bej.2017.05.013","ISSN":"1369703X","author":[{"dropping-particle":"","family":"Anane","given":"Emmanuel","non-dropping-particle":"","parse-names":false,"suffix":""},{"dropping-particle":"","family":"López C","given":"Diana C.","non-dropping-particle":"","parse-names":false,"suffix":""},{"dropping-particle":"","family":"Neubauer","given":"Peter","non-dropping-particle":"","parse-names":false,"suffix":""},{"dropping-particle":"","family":"Cruz Bournazou","given":"M. Nicolas","non-dropping-particle":"","parse-names":false,"suffix":""}],"container-title":"Biochemical Engineering Journal","id":"ITEM-2","issued":{"date-parts":[["2017","9"]]},"page":"23-30","publisher":"Elsevier B.V.","title":"Modelling overflow metabolism in Escherichia coli by acetate cycling","type":"article-journal","volume":"125"},"uris":["http://www.mendeley.com/documents/?uuid=8a00eca2-3b0d-4de4-a4eb-d4c9194bf60c"]},{"id":"ITEM-3","itemData":{"DOI":"10.1002/bit.1068","ISBN":"0006-3592 (Print)\\n0006-3592","ISSN":"00063592","PMID":"11320505","abstract":"A simple pulse-based method for the determination of the maximum uptake capacities for glucose and oxygen in glucose limited cultivations of E. coli is presented. The method does not depend on the time-consuming analysis of glucose or acetate, and therefore can be used to control the feed rate in glucose limited cultivations, such as fed-batch processes. The application of this method in fed-batch processes of E. coli showed that the uptake capacity for neither glucose nor oxygen is a constant parameter, as often is assumed in fed-batch models. The glucose uptake capacity decreased significantly when the specific growth rate decreased below 0.15 h(-1) and fell to about 0.6 mmol g(-1) h(-1) (mmol per g cell dry weight and hour) at the end of fed-batch fermentations, where specific growth rate was approximately 0.02 h(-1). The oxygen uptake capacity started to decrease somewhat earlier when specific growth rate declined below 0.25 h(-1) and was 5 mmol g(-1) h(-1) at the end of the fermentations. The behavior of both uptake systems is integrated in a dynamic model which allows a better fitting of experimental values for glucose in fed-batch processes in comparison to generally used unstructured kinetic models.","author":[{"dropping-particle":"","family":"Lin","given":"H. Y.","non-dropping-particle":"","parse-names":false,"suffix":""},{"dropping-particle":"","family":"Mathiszik","given":"B.","non-dropping-particle":"","parse-names":false,"suffix":""},{"dropping-particle":"","family":"Xu","given":"B.","non-dropping-particle":"","parse-names":false,"suffix":""},{"dropping-particle":"","family":"Enfors","given":"S. O.","non-dropping-particle":"","parse-names":false,"suffix":""},{"dropping-particle":"","family":"Neubauer","given":"P.","non-dropping-particle":"","parse-names":false,"suffix":""}],"container-title":"Biotechnology and Bioengineering","id":"ITEM-3","issue":"5","issued":{"date-parts":[["2001"]]},"page":"347-357","title":"Determination of the maximum specific uptake capacities for glucose and oxygen in glucose-limited fed-batch cultivations of Escherichia coli","type":"article-journal","volume":"73"},"uris":["http://www.mendeley.com/documents/?uuid=c7b905b7-5c0c-4f60-bddb-bdf0d034ca68"]}],"mendeley":{"formattedCitation":"(Anane et al., 2017; Cruz Bournazou et al., 2017; Lin et al., 2001b)","plainTextFormattedCitation":"(Anane et al., 2017; Cruz Bournazou et al., 2017; Lin et al., 2001b)","previouslyFormattedCitation":"[11,13,36]"},"properties":{"noteIndex":0},"schema":"https://github.com/citation-style-language/schema/raw/master/csl-citation.json"}</w:instrText>
      </w:r>
      <w:r w:rsidRPr="00E64B5E">
        <w:rPr>
          <w:rFonts w:ascii="Times New Roman" w:hAnsi="Times New Roman" w:cs="Times New Roman"/>
          <w:sz w:val="22"/>
          <w:szCs w:val="22"/>
        </w:rPr>
        <w:fldChar w:fldCharType="separate"/>
      </w:r>
      <w:r w:rsidRPr="00867CFC">
        <w:rPr>
          <w:rFonts w:ascii="Times New Roman" w:hAnsi="Times New Roman" w:cs="Times New Roman"/>
          <w:noProof/>
          <w:sz w:val="22"/>
          <w:szCs w:val="22"/>
        </w:rPr>
        <w:t>(Anane et al., 2017; Cruz Bournazou et al., 2017; Lin et al., 2001b)</w:t>
      </w:r>
      <w:r w:rsidRPr="00E64B5E">
        <w:rPr>
          <w:rFonts w:ascii="Times New Roman" w:hAnsi="Times New Roman" w:cs="Times New Roman"/>
          <w:sz w:val="22"/>
          <w:szCs w:val="22"/>
        </w:rPr>
        <w:fldChar w:fldCharType="end"/>
      </w:r>
      <w:r>
        <w:rPr>
          <w:rFonts w:ascii="Times New Roman" w:hAnsi="Times New Roman" w:cs="Times New Roman"/>
          <w:sz w:val="22"/>
          <w:szCs w:val="22"/>
        </w:rPr>
        <w:t>.</w:t>
      </w:r>
      <w:r w:rsidRPr="00E64B5E">
        <w:rPr>
          <w:rFonts w:ascii="Times New Roman" w:hAnsi="Times New Roman" w:cs="Times New Roman"/>
          <w:sz w:val="22"/>
          <w:szCs w:val="22"/>
        </w:rPr>
        <w:t xml:space="preserve"> The algebraic equations that describe these intracellular activities are as follows:</w:t>
      </w:r>
    </w:p>
    <w:p w:rsidR="009E67B7" w:rsidRPr="00E64B5E" w:rsidRDefault="009E67B7" w:rsidP="00222E28">
      <w:pPr>
        <w:spacing w:line="480" w:lineRule="auto"/>
        <w:jc w:val="both"/>
        <w:rPr>
          <w:rFonts w:ascii="Times New Roman" w:hAnsi="Times New Roman" w:cs="Times New Roman"/>
          <w:sz w:val="22"/>
          <w:szCs w:val="22"/>
        </w:rPr>
      </w:pPr>
    </w:p>
    <w:p w:rsidR="009E67B7" w:rsidRPr="00E64B5E" w:rsidRDefault="00764096" w:rsidP="00222E28">
      <w:pPr>
        <w:spacing w:line="480" w:lineRule="auto"/>
        <w:jc w:val="both"/>
        <w:rPr>
          <w:rFonts w:ascii="Times New Roman" w:hAnsi="Times New Roman" w:cs="Times New Roman"/>
          <w:sz w:val="22"/>
          <w:szCs w:val="22"/>
        </w:rPr>
      </w:pP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s</m:t>
            </m:r>
          </m:sub>
        </m:sSub>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smax</m:t>
                </m:r>
              </m:sub>
            </m:sSub>
            <m:r>
              <w:rPr>
                <w:rFonts w:ascii="Cambria Math" w:hAnsi="Cambria Math" w:cs="Times New Roman"/>
                <w:color w:val="000000" w:themeColor="text1"/>
                <w:sz w:val="22"/>
                <w:szCs w:val="22"/>
              </w:rPr>
              <m:t>S</m:t>
            </m:r>
          </m:num>
          <m:den>
            <m:r>
              <w:rPr>
                <w:rFonts w:ascii="Cambria Math" w:hAnsi="Cambria Math" w:cs="Times New Roman"/>
                <w:color w:val="000000" w:themeColor="text1"/>
                <w:sz w:val="22"/>
                <w:szCs w:val="22"/>
              </w:rPr>
              <m:t>S+</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K</m:t>
                </m:r>
              </m:e>
              <m:sub>
                <m:r>
                  <w:rPr>
                    <w:rFonts w:ascii="Cambria Math" w:hAnsi="Cambria Math" w:cs="Times New Roman"/>
                    <w:color w:val="000000" w:themeColor="text1"/>
                    <w:sz w:val="22"/>
                    <w:szCs w:val="22"/>
                  </w:rPr>
                  <m:t>s</m:t>
                </m:r>
              </m:sub>
            </m:sSub>
          </m:den>
        </m:f>
        <m:r>
          <w:rPr>
            <w:rFonts w:ascii="Cambria Math" w:hAnsi="Cambria Math" w:cs="Times New Roman"/>
            <w:color w:val="000000" w:themeColor="text1"/>
            <w:sz w:val="22"/>
            <w:szCs w:val="22"/>
          </w:rPr>
          <m:t>.</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e</m:t>
            </m:r>
          </m:e>
          <m:sup>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-P*K</m:t>
                </m:r>
              </m:e>
              <m:sub>
                <m:r>
                  <w:rPr>
                    <w:rFonts w:ascii="Cambria Math" w:hAnsi="Cambria Math" w:cs="Times New Roman"/>
                    <w:color w:val="000000" w:themeColor="text1"/>
                    <w:sz w:val="22"/>
                    <w:szCs w:val="22"/>
                  </w:rPr>
                  <m:t>ip</m:t>
                </m:r>
              </m:sub>
            </m:sSub>
          </m:sup>
        </m:sSup>
      </m:oMath>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t>(A.1)</w:t>
      </w:r>
      <w:r w:rsidR="009E67B7" w:rsidRPr="00E64B5E">
        <w:rPr>
          <w:rFonts w:ascii="Times New Roman" w:hAnsi="Times New Roman" w:cs="Times New Roman"/>
          <w:sz w:val="22"/>
          <w:szCs w:val="22"/>
        </w:rPr>
        <w:tab/>
      </w:r>
    </w:p>
    <w:p w:rsidR="009E67B7" w:rsidRPr="00E64B5E" w:rsidRDefault="00764096" w:rsidP="00222E28">
      <w:pPr>
        <w:spacing w:line="480" w:lineRule="auto"/>
        <w:jc w:val="both"/>
        <w:rPr>
          <w:rFonts w:ascii="Times New Roman" w:hAnsi="Times New Roman" w:cs="Times New Roman"/>
          <w:color w:val="000000" w:themeColor="text1"/>
          <w:sz w:val="22"/>
          <w:szCs w:val="22"/>
        </w:rPr>
      </w:pP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sox</m:t>
            </m:r>
          </m:sub>
        </m:sSub>
        <m:r>
          <w:rPr>
            <w:rFonts w:ascii="Cambria Math" w:hAnsi="Cambria Math" w:cs="Times New Roman"/>
            <w:color w:val="000000" w:themeColor="text1"/>
            <w:sz w:val="22"/>
            <w:szCs w:val="22"/>
          </w:rPr>
          <m:t>=</m:t>
        </m:r>
        <m:d>
          <m:dPr>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s</m:t>
                </m:r>
              </m:sub>
            </m:sSub>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P</m:t>
                    </m:r>
                  </m:e>
                  <m:sub>
                    <m:r>
                      <w:rPr>
                        <w:rFonts w:ascii="Cambria Math" w:hAnsi="Cambria Math" w:cs="Times New Roman"/>
                        <w:color w:val="000000" w:themeColor="text1"/>
                        <w:sz w:val="22"/>
                        <w:szCs w:val="22"/>
                      </w:rPr>
                      <m:t>Amax</m:t>
                    </m:r>
                  </m:sub>
                </m:sSub>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s</m:t>
                    </m:r>
                  </m:sub>
                </m:sSub>
              </m:num>
              <m:den>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s</m:t>
                    </m:r>
                  </m:sub>
                </m:sSub>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K</m:t>
                    </m:r>
                  </m:e>
                  <m:sub>
                    <m:r>
                      <w:rPr>
                        <w:rFonts w:ascii="Cambria Math" w:hAnsi="Cambria Math" w:cs="Times New Roman"/>
                        <w:color w:val="000000" w:themeColor="text1"/>
                        <w:sz w:val="22"/>
                        <w:szCs w:val="22"/>
                      </w:rPr>
                      <m:t>ap</m:t>
                    </m:r>
                  </m:sub>
                </m:sSub>
              </m:den>
            </m:f>
          </m:e>
        </m:d>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r>
              <w:rPr>
                <w:rFonts w:ascii="Cambria Math" w:hAnsi="Cambria Math" w:cs="Times New Roman"/>
                <w:color w:val="000000" w:themeColor="text1"/>
                <w:sz w:val="22"/>
                <w:szCs w:val="22"/>
              </w:rPr>
              <m:t>DOT</m:t>
            </m:r>
          </m:num>
          <m:den>
            <m:r>
              <w:rPr>
                <w:rFonts w:ascii="Cambria Math" w:hAnsi="Cambria Math" w:cs="Times New Roman"/>
                <w:color w:val="000000" w:themeColor="text1"/>
                <w:sz w:val="22"/>
                <w:szCs w:val="22"/>
              </w:rPr>
              <m:t>DOT+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K</m:t>
                </m:r>
              </m:e>
              <m:sub>
                <m:r>
                  <w:rPr>
                    <w:rFonts w:ascii="Cambria Math" w:hAnsi="Cambria Math" w:cs="Times New Roman"/>
                    <w:color w:val="000000" w:themeColor="text1"/>
                    <w:sz w:val="22"/>
                    <w:szCs w:val="22"/>
                  </w:rPr>
                  <m:t>o</m:t>
                </m:r>
              </m:sub>
            </m:sSub>
          </m:den>
        </m:f>
      </m:oMath>
      <w:r w:rsidR="009E67B7" w:rsidRPr="00E64B5E">
        <w:rPr>
          <w:rFonts w:ascii="Times New Roman" w:hAnsi="Times New Roman" w:cs="Times New Roman"/>
          <w:color w:val="000000" w:themeColor="text1"/>
          <w:sz w:val="22"/>
          <w:szCs w:val="22"/>
        </w:rPr>
        <w:t xml:space="preserve"> </w:t>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t>(A.2)</w:t>
      </w:r>
    </w:p>
    <w:p w:rsidR="009E67B7" w:rsidRPr="00E64B5E" w:rsidRDefault="00764096" w:rsidP="00222E28">
      <w:pPr>
        <w:spacing w:line="480" w:lineRule="auto"/>
        <w:jc w:val="both"/>
        <w:rPr>
          <w:rFonts w:ascii="Times New Roman" w:hAnsi="Times New Roman" w:cs="Times New Roman"/>
          <w:color w:val="000000" w:themeColor="text1"/>
          <w:sz w:val="22"/>
          <w:szCs w:val="22"/>
        </w:rPr>
      </w:pP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sof</m:t>
            </m:r>
          </m:sub>
        </m:sSub>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s</m:t>
            </m:r>
          </m:sub>
        </m:sSub>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sox</m:t>
            </m:r>
          </m:sub>
        </m:sSub>
      </m:oMath>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t>(A.3)</w:t>
      </w:r>
    </w:p>
    <w:p w:rsidR="009E67B7" w:rsidRPr="00E64B5E" w:rsidRDefault="00764096" w:rsidP="00222E28">
      <w:pPr>
        <w:spacing w:line="480" w:lineRule="auto"/>
        <w:jc w:val="both"/>
        <w:rPr>
          <w:rFonts w:ascii="Times New Roman" w:hAnsi="Times New Roman" w:cs="Times New Roman"/>
          <w:color w:val="000000" w:themeColor="text1"/>
          <w:sz w:val="22"/>
          <w:szCs w:val="22"/>
        </w:rPr>
      </w:pPr>
      <m:oMath>
        <m:sSub>
          <m:sSubPr>
            <m:ctrlPr>
              <w:rPr>
                <w:rFonts w:ascii="Cambria Math" w:hAnsi="Cambria Math" w:cs="Times New Roman"/>
                <w:i/>
                <w:color w:val="FF0000"/>
                <w:sz w:val="22"/>
                <w:szCs w:val="22"/>
              </w:rPr>
            </m:ctrlPr>
          </m:sSubPr>
          <m:e>
            <m:r>
              <w:rPr>
                <w:rFonts w:ascii="Cambria Math" w:hAnsi="Cambria Math" w:cs="Times New Roman"/>
                <w:color w:val="FF0000"/>
                <w:sz w:val="22"/>
                <w:szCs w:val="22"/>
              </w:rPr>
              <m:t>q</m:t>
            </m:r>
          </m:e>
          <m:sub>
            <m:r>
              <w:rPr>
                <w:rFonts w:ascii="Cambria Math" w:hAnsi="Cambria Math" w:cs="Times New Roman"/>
                <w:color w:val="FF0000"/>
                <w:sz w:val="22"/>
                <w:szCs w:val="22"/>
              </w:rPr>
              <m:t>PA</m:t>
            </m:r>
          </m:sub>
        </m:sSub>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sof</m:t>
            </m:r>
          </m:sub>
        </m:sSub>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Y</m:t>
            </m:r>
          </m:e>
          <m:sub>
            <m:r>
              <w:rPr>
                <w:rFonts w:ascii="Cambria Math" w:hAnsi="Cambria Math" w:cs="Times New Roman"/>
                <w:color w:val="000000" w:themeColor="text1"/>
                <w:sz w:val="22"/>
                <w:szCs w:val="22"/>
              </w:rPr>
              <m:t>as</m:t>
            </m:r>
          </m:sub>
        </m:sSub>
      </m:oMath>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t>(A.4)</w:t>
      </w:r>
    </w:p>
    <w:p w:rsidR="009E67B7" w:rsidRPr="00E64B5E" w:rsidRDefault="00764096" w:rsidP="00222E28">
      <w:pPr>
        <w:spacing w:line="480" w:lineRule="auto"/>
        <w:jc w:val="both"/>
        <w:rPr>
          <w:rFonts w:ascii="Times New Roman" w:hAnsi="Times New Roman" w:cs="Times New Roman"/>
          <w:color w:val="000000" w:themeColor="text1"/>
          <w:sz w:val="22"/>
          <w:szCs w:val="22"/>
        </w:rPr>
      </w:pP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sA</m:t>
            </m:r>
          </m:sub>
        </m:sSub>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Amax</m:t>
                </m:r>
              </m:sub>
            </m:sSub>
          </m:num>
          <m:den>
            <m:r>
              <w:rPr>
                <w:rFonts w:ascii="Cambria Math" w:hAnsi="Cambria Math" w:cs="Times New Roman"/>
                <w:color w:val="000000" w:themeColor="text1"/>
                <w:sz w:val="22"/>
                <w:szCs w:val="22"/>
              </w:rPr>
              <m:t>1+</m:t>
            </m:r>
            <m:f>
              <m:fPr>
                <m:ctrlPr>
                  <w:rPr>
                    <w:rFonts w:ascii="Cambria Math" w:hAnsi="Cambria Math" w:cs="Times New Roman"/>
                    <w:i/>
                    <w:color w:val="000000" w:themeColor="text1"/>
                    <w:sz w:val="22"/>
                    <w:szCs w:val="22"/>
                  </w:rPr>
                </m:ctrlPr>
              </m:fPr>
              <m:num>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s</m:t>
                    </m:r>
                  </m:sub>
                </m:sSub>
              </m:num>
              <m:den>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K</m:t>
                    </m:r>
                  </m:e>
                  <m:sub>
                    <m:r>
                      <w:rPr>
                        <w:rFonts w:ascii="Cambria Math" w:hAnsi="Cambria Math" w:cs="Times New Roman"/>
                        <w:color w:val="000000" w:themeColor="text1"/>
                        <w:sz w:val="22"/>
                        <w:szCs w:val="22"/>
                      </w:rPr>
                      <m:t>is</m:t>
                    </m:r>
                  </m:sub>
                </m:sSub>
              </m:den>
            </m:f>
          </m:den>
        </m:f>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r>
              <w:rPr>
                <w:rFonts w:ascii="Cambria Math" w:hAnsi="Cambria Math" w:cs="Times New Roman"/>
                <w:color w:val="000000" w:themeColor="text1"/>
                <w:sz w:val="22"/>
                <w:szCs w:val="22"/>
              </w:rPr>
              <m:t>A</m:t>
            </m:r>
          </m:num>
          <m:den>
            <m:r>
              <w:rPr>
                <w:rFonts w:ascii="Cambria Math" w:hAnsi="Cambria Math" w:cs="Times New Roman"/>
                <w:color w:val="000000" w:themeColor="text1"/>
                <w:sz w:val="22"/>
                <w:szCs w:val="22"/>
              </w:rPr>
              <m:t>A+</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K</m:t>
                </m:r>
              </m:e>
              <m:sub>
                <m:r>
                  <w:rPr>
                    <w:rFonts w:ascii="Cambria Math" w:hAnsi="Cambria Math" w:cs="Times New Roman"/>
                    <w:color w:val="000000" w:themeColor="text1"/>
                    <w:sz w:val="22"/>
                    <w:szCs w:val="22"/>
                  </w:rPr>
                  <m:t>sa</m:t>
                </m:r>
              </m:sub>
            </m:sSub>
          </m:den>
        </m:f>
      </m:oMath>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t>(A.5)</w:t>
      </w:r>
    </w:p>
    <w:p w:rsidR="009E67B7" w:rsidRPr="00E64B5E" w:rsidRDefault="00764096" w:rsidP="00222E28">
      <w:pPr>
        <w:spacing w:line="480" w:lineRule="auto"/>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A</m:t>
            </m:r>
          </m:sub>
        </m:sSub>
        <m:r>
          <w:rPr>
            <w:rFonts w:ascii="Cambria Math" w:hAnsi="Cambria Math" w:cs="Times New Roman"/>
            <w:sz w:val="22"/>
            <w:szCs w:val="22"/>
          </w:rPr>
          <m:t>=</m:t>
        </m:r>
        <m:sSub>
          <m:sSubPr>
            <m:ctrlPr>
              <w:rPr>
                <w:rFonts w:ascii="Cambria Math" w:hAnsi="Cambria Math" w:cs="Times New Roman"/>
                <w:i/>
                <w:color w:val="FF0000"/>
                <w:sz w:val="22"/>
                <w:szCs w:val="22"/>
              </w:rPr>
            </m:ctrlPr>
          </m:sSubPr>
          <m:e>
            <m:r>
              <w:rPr>
                <w:rFonts w:ascii="Cambria Math" w:hAnsi="Cambria Math" w:cs="Times New Roman"/>
                <w:color w:val="FF0000"/>
                <w:sz w:val="22"/>
                <w:szCs w:val="22"/>
              </w:rPr>
              <m:t>q</m:t>
            </m:r>
          </m:e>
          <m:sub>
            <m:r>
              <w:rPr>
                <w:rFonts w:ascii="Cambria Math" w:hAnsi="Cambria Math" w:cs="Times New Roman"/>
                <w:color w:val="FF0000"/>
                <w:sz w:val="22"/>
                <w:szCs w:val="22"/>
              </w:rPr>
              <m:t>PA</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sA</m:t>
            </m:r>
          </m:sub>
        </m:sSub>
      </m:oMath>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t>(A.6)</w:t>
      </w:r>
    </w:p>
    <w:p w:rsidR="009E67B7" w:rsidRPr="00E64B5E" w:rsidRDefault="009E67B7" w:rsidP="00222E28">
      <w:pPr>
        <w:spacing w:line="480" w:lineRule="auto"/>
        <w:jc w:val="both"/>
        <w:rPr>
          <w:rFonts w:ascii="Times New Roman" w:hAnsi="Times New Roman" w:cs="Times New Roman"/>
          <w:sz w:val="22"/>
          <w:szCs w:val="22"/>
        </w:rPr>
      </w:pPr>
      <m:oMath>
        <m:r>
          <w:rPr>
            <w:rFonts w:ascii="Cambria Math" w:hAnsi="Cambria Math" w:cs="Times New Roman"/>
            <w:sz w:val="22"/>
            <w:szCs w:val="22"/>
          </w:rPr>
          <m:t>μ=</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sox</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m</m:t>
                </m:r>
              </m:sub>
            </m:sSub>
          </m:e>
        </m:d>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em</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sA</m:t>
            </m:r>
          </m:sub>
        </m:sSub>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xa</m:t>
            </m:r>
          </m:sub>
        </m:sSub>
        <m:r>
          <w:rPr>
            <w:rFonts w:ascii="Cambria Math" w:hAnsi="Cambria Math" w:cs="Times New Roman"/>
            <w:sz w:val="22"/>
            <w:szCs w:val="22"/>
          </w:rPr>
          <m:t>+</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sof</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A</m:t>
                </m:r>
              </m:sub>
            </m:sSub>
          </m:e>
        </m:d>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xsof</m:t>
            </m:r>
          </m:sub>
        </m:sSub>
      </m:oMath>
      <w:r w:rsidRPr="00E64B5E">
        <w:rPr>
          <w:rFonts w:ascii="Times New Roman" w:hAnsi="Times New Roman" w:cs="Times New Roman"/>
          <w:sz w:val="22"/>
          <w:szCs w:val="22"/>
        </w:rPr>
        <w:t xml:space="preserve"> </w:t>
      </w:r>
      <w:r w:rsidRPr="00E64B5E">
        <w:rPr>
          <w:rFonts w:ascii="Times New Roman" w:hAnsi="Times New Roman" w:cs="Times New Roman"/>
          <w:sz w:val="22"/>
          <w:szCs w:val="22"/>
        </w:rPr>
        <w:tab/>
      </w:r>
      <w:r w:rsidRPr="00E64B5E">
        <w:rPr>
          <w:rFonts w:ascii="Times New Roman" w:hAnsi="Times New Roman" w:cs="Times New Roman"/>
          <w:sz w:val="22"/>
          <w:szCs w:val="22"/>
        </w:rPr>
        <w:tab/>
        <w:t>(A.7)</w:t>
      </w:r>
    </w:p>
    <w:p w:rsidR="009E67B7" w:rsidRPr="00E64B5E" w:rsidRDefault="00764096" w:rsidP="00222E28">
      <w:pPr>
        <w:spacing w:line="480" w:lineRule="auto"/>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o</m:t>
            </m:r>
          </m:sub>
        </m:sSub>
        <m:r>
          <w:rPr>
            <w:rFonts w:ascii="Cambria Math" w:hAnsi="Cambria Math" w:cs="Times New Roman"/>
            <w:sz w:val="22"/>
            <w:szCs w:val="22"/>
          </w:rPr>
          <m:t>=</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sox</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m</m:t>
                </m:r>
              </m:sub>
            </m:sSub>
          </m:e>
        </m:d>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os</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sA</m:t>
            </m:r>
          </m:sub>
        </m:sSub>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oa</m:t>
            </m:r>
          </m:sub>
        </m:sSub>
      </m:oMath>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t>(A.8)</w:t>
      </w:r>
    </w:p>
    <w:p w:rsidR="009E67B7" w:rsidRPr="00E64B5E" w:rsidRDefault="00764096" w:rsidP="00222E28">
      <w:pPr>
        <w:spacing w:line="480" w:lineRule="auto"/>
        <w:jc w:val="both"/>
        <w:rPr>
          <w:rFonts w:ascii="Times New Roman" w:hAnsi="Times New Roman" w:cs="Times New Roman"/>
          <w:color w:val="000000" w:themeColor="text1"/>
          <w:sz w:val="22"/>
          <w:szCs w:val="22"/>
        </w:rPr>
      </w:pP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p</m:t>
            </m:r>
          </m:sub>
        </m:sSub>
        <m:r>
          <w:rPr>
            <w:rFonts w:ascii="Cambria Math" w:hAnsi="Cambria Math" w:cs="Times New Roman"/>
            <w:color w:val="000000" w:themeColor="text1"/>
            <w:sz w:val="22"/>
            <w:szCs w:val="22"/>
          </w:rPr>
          <m:t>=μ</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Y</m:t>
            </m:r>
          </m:e>
          <m:sub>
            <m:r>
              <w:rPr>
                <w:rFonts w:ascii="Cambria Math" w:hAnsi="Cambria Math" w:cs="Times New Roman"/>
                <w:color w:val="000000" w:themeColor="text1"/>
                <w:sz w:val="22"/>
                <w:szCs w:val="22"/>
              </w:rPr>
              <m:t>px</m:t>
            </m:r>
          </m:sub>
        </m:sSub>
      </m:oMath>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t>(A.9)</w:t>
      </w:r>
    </w:p>
    <w:p w:rsidR="009E67B7" w:rsidRPr="00E64B5E" w:rsidRDefault="009E67B7" w:rsidP="00222E28">
      <w:pPr>
        <w:spacing w:line="480" w:lineRule="auto"/>
        <w:jc w:val="both"/>
        <w:rPr>
          <w:rFonts w:ascii="Times New Roman" w:hAnsi="Times New Roman" w:cs="Times New Roman"/>
          <w:color w:val="000000" w:themeColor="text1"/>
          <w:sz w:val="22"/>
          <w:szCs w:val="22"/>
        </w:rPr>
      </w:pPr>
    </w:p>
    <w:p w:rsidR="009E67B7" w:rsidRPr="00E64B5E" w:rsidRDefault="009E67B7" w:rsidP="00222E28">
      <w:pPr>
        <w:spacing w:line="480" w:lineRule="auto"/>
        <w:jc w:val="both"/>
        <w:rPr>
          <w:rFonts w:ascii="Times New Roman" w:hAnsi="Times New Roman" w:cs="Times New Roman"/>
          <w:sz w:val="22"/>
          <w:szCs w:val="22"/>
        </w:rPr>
      </w:pPr>
      <w:r w:rsidRPr="00E64B5E">
        <w:rPr>
          <w:rFonts w:ascii="Times New Roman" w:hAnsi="Times New Roman" w:cs="Times New Roman"/>
          <w:sz w:val="22"/>
          <w:szCs w:val="22"/>
        </w:rPr>
        <w:t xml:space="preserve">The algebraic equations are coupled with mass balances for a fed-batch process to yield the full ODE system. The ODE system for the </w:t>
      </w:r>
      <w:r w:rsidRPr="00E64B5E">
        <w:rPr>
          <w:rFonts w:ascii="Times New Roman" w:hAnsi="Times New Roman" w:cs="Times New Roman"/>
          <w:i/>
          <w:sz w:val="22"/>
          <w:szCs w:val="22"/>
        </w:rPr>
        <w:t>E. coli</w:t>
      </w:r>
      <w:r w:rsidRPr="00E64B5E">
        <w:rPr>
          <w:rFonts w:ascii="Times New Roman" w:hAnsi="Times New Roman" w:cs="Times New Roman"/>
          <w:sz w:val="22"/>
          <w:szCs w:val="22"/>
        </w:rPr>
        <w:t xml:space="preserve"> model is derived from mass balances on biomass (X), glucose (substrate, S), acetate (A) and dissolved oxygen measured as the percentage saturation at the operating conditions in the bioreactor (DOT). </w:t>
      </w:r>
    </w:p>
    <w:p w:rsidR="009E67B7" w:rsidRPr="00E64B5E" w:rsidRDefault="009E67B7" w:rsidP="00222E28">
      <w:pPr>
        <w:spacing w:line="480" w:lineRule="auto"/>
        <w:jc w:val="both"/>
        <w:rPr>
          <w:rFonts w:ascii="Times New Roman" w:hAnsi="Times New Roman" w:cs="Times New Roman"/>
          <w:sz w:val="22"/>
          <w:szCs w:val="22"/>
        </w:rPr>
      </w:pPr>
    </w:p>
    <w:p w:rsidR="009E67B7" w:rsidRPr="00E64B5E" w:rsidRDefault="00764096" w:rsidP="00222E28">
      <w:pPr>
        <w:spacing w:line="480" w:lineRule="auto"/>
        <w:jc w:val="both"/>
        <w:rPr>
          <w:rFonts w:ascii="Times New Roman" w:hAnsi="Times New Roman" w:cs="Times New Roman"/>
          <w:sz w:val="22"/>
          <w:szCs w:val="22"/>
        </w:rPr>
      </w:pPr>
      <m:oMath>
        <m:f>
          <m:fPr>
            <m:ctrlPr>
              <w:rPr>
                <w:rFonts w:ascii="Cambria Math" w:hAnsi="Cambria Math" w:cs="Times New Roman"/>
                <w:i/>
                <w:sz w:val="22"/>
                <w:szCs w:val="22"/>
              </w:rPr>
            </m:ctrlPr>
          </m:fPr>
          <m:num>
            <m:r>
              <w:rPr>
                <w:rFonts w:ascii="Cambria Math" w:hAnsi="Cambria Math" w:cs="Times New Roman"/>
                <w:sz w:val="22"/>
                <w:szCs w:val="22"/>
              </w:rPr>
              <m:t>dX</m:t>
            </m:r>
          </m:num>
          <m:den>
            <m:r>
              <w:rPr>
                <w:rFonts w:ascii="Cambria Math" w:hAnsi="Cambria Math" w:cs="Times New Roman"/>
                <w:sz w:val="22"/>
                <w:szCs w:val="22"/>
              </w:rPr>
              <m:t>dt</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V</m:t>
            </m:r>
          </m:den>
        </m:f>
        <m:d>
          <m:dPr>
            <m:ctrlPr>
              <w:rPr>
                <w:rFonts w:ascii="Cambria Math" w:hAnsi="Cambria Math" w:cs="Times New Roman"/>
                <w:i/>
                <w:sz w:val="22"/>
                <w:szCs w:val="22"/>
              </w:rPr>
            </m:ctrlPr>
          </m:dPr>
          <m:e>
            <m:r>
              <w:rPr>
                <w:rFonts w:ascii="Cambria Math" w:hAnsi="Cambria Math" w:cs="Times New Roman"/>
                <w:sz w:val="22"/>
                <w:szCs w:val="22"/>
              </w:rPr>
              <m:t>0-X</m:t>
            </m:r>
          </m:e>
        </m:d>
        <m:r>
          <w:rPr>
            <w:rFonts w:ascii="Cambria Math" w:hAnsi="Cambria Math" w:cs="Times New Roman"/>
            <w:sz w:val="22"/>
            <w:szCs w:val="22"/>
          </w:rPr>
          <m:t>+μX</m:t>
        </m:r>
      </m:oMath>
      <w:r w:rsidR="009E67B7" w:rsidRPr="00E64B5E">
        <w:rPr>
          <w:rFonts w:ascii="Times New Roman" w:hAnsi="Times New Roman" w:cs="Times New Roman"/>
          <w:sz w:val="22"/>
          <w:szCs w:val="22"/>
        </w:rPr>
        <w:t xml:space="preserve">    </w:t>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t>(A.10)</w:t>
      </w:r>
    </w:p>
    <w:p w:rsidR="009E67B7" w:rsidRPr="00E64B5E" w:rsidRDefault="00764096" w:rsidP="00222E28">
      <w:pPr>
        <w:spacing w:line="480" w:lineRule="auto"/>
        <w:jc w:val="both"/>
        <w:rPr>
          <w:rFonts w:ascii="Times New Roman" w:hAnsi="Times New Roman" w:cs="Times New Roman"/>
          <w:sz w:val="22"/>
          <w:szCs w:val="22"/>
        </w:rPr>
      </w:pPr>
      <m:oMath>
        <m:f>
          <m:fPr>
            <m:ctrlPr>
              <w:rPr>
                <w:rFonts w:ascii="Cambria Math" w:hAnsi="Cambria Math" w:cs="Times New Roman"/>
                <w:i/>
                <w:sz w:val="22"/>
                <w:szCs w:val="22"/>
              </w:rPr>
            </m:ctrlPr>
          </m:fPr>
          <m:num>
            <m:r>
              <w:rPr>
                <w:rFonts w:ascii="Cambria Math" w:hAnsi="Cambria Math" w:cs="Times New Roman"/>
                <w:sz w:val="22"/>
                <w:szCs w:val="22"/>
              </w:rPr>
              <m:t>dS</m:t>
            </m:r>
          </m:num>
          <m:den>
            <m:r>
              <w:rPr>
                <w:rFonts w:ascii="Cambria Math" w:hAnsi="Cambria Math" w:cs="Times New Roman"/>
                <w:sz w:val="22"/>
                <w:szCs w:val="22"/>
              </w:rPr>
              <m:t>dt</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V</m:t>
            </m:r>
          </m:den>
        </m:f>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S</m:t>
                </m:r>
              </m:e>
              <m:sub>
                <m:r>
                  <w:rPr>
                    <w:rFonts w:ascii="Cambria Math" w:hAnsi="Cambria Math" w:cs="Times New Roman"/>
                    <w:sz w:val="22"/>
                    <w:szCs w:val="22"/>
                  </w:rPr>
                  <m:t>i</m:t>
                </m:r>
              </m:sub>
            </m:sSub>
            <m:r>
              <w:rPr>
                <w:rFonts w:ascii="Cambria Math" w:hAnsi="Cambria Math" w:cs="Times New Roman"/>
                <w:sz w:val="22"/>
                <w:szCs w:val="22"/>
              </w:rPr>
              <m:t>-S</m:t>
            </m: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s</m:t>
            </m:r>
          </m:sub>
        </m:sSub>
        <m:r>
          <w:rPr>
            <w:rFonts w:ascii="Cambria Math" w:hAnsi="Cambria Math" w:cs="Times New Roman"/>
            <w:sz w:val="22"/>
            <w:szCs w:val="22"/>
          </w:rPr>
          <m:t>X</m:t>
        </m:r>
      </m:oMath>
      <w:r w:rsidR="009E67B7" w:rsidRPr="00E64B5E">
        <w:rPr>
          <w:rFonts w:ascii="Times New Roman" w:hAnsi="Times New Roman" w:cs="Times New Roman"/>
          <w:sz w:val="22"/>
          <w:szCs w:val="22"/>
        </w:rPr>
        <w:t xml:space="preserve"> </w:t>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t>(A.11)</w:t>
      </w:r>
    </w:p>
    <w:p w:rsidR="009E67B7" w:rsidRPr="00E64B5E" w:rsidRDefault="00764096" w:rsidP="00222E28">
      <w:pPr>
        <w:spacing w:line="480" w:lineRule="auto"/>
        <w:jc w:val="both"/>
        <w:rPr>
          <w:rFonts w:ascii="Times New Roman" w:hAnsi="Times New Roman" w:cs="Times New Roman"/>
          <w:sz w:val="22"/>
          <w:szCs w:val="22"/>
        </w:rPr>
      </w:pPr>
      <m:oMath>
        <m:f>
          <m:fPr>
            <m:ctrlPr>
              <w:rPr>
                <w:rFonts w:ascii="Cambria Math" w:hAnsi="Cambria Math" w:cs="Times New Roman"/>
                <w:i/>
                <w:sz w:val="22"/>
                <w:szCs w:val="22"/>
              </w:rPr>
            </m:ctrlPr>
          </m:fPr>
          <m:num>
            <m:r>
              <w:rPr>
                <w:rFonts w:ascii="Cambria Math" w:hAnsi="Cambria Math" w:cs="Times New Roman"/>
                <w:sz w:val="22"/>
                <w:szCs w:val="22"/>
              </w:rPr>
              <m:t>dA</m:t>
            </m:r>
          </m:num>
          <m:den>
            <m:r>
              <w:rPr>
                <w:rFonts w:ascii="Cambria Math" w:hAnsi="Cambria Math" w:cs="Times New Roman"/>
                <w:sz w:val="22"/>
                <w:szCs w:val="22"/>
              </w:rPr>
              <m:t>dt</m:t>
            </m:r>
          </m:den>
        </m:f>
        <m:r>
          <w:rPr>
            <w:rFonts w:ascii="Cambria Math" w:hAnsi="Cambria Math" w:cs="Times New Roman"/>
            <w:sz w:val="22"/>
            <w:szCs w:val="22"/>
          </w:rPr>
          <m:t>=</m:t>
        </m:r>
        <m:sSub>
          <m:sSubPr>
            <m:ctrlPr>
              <w:rPr>
                <w:rFonts w:ascii="Cambria Math" w:hAnsi="Cambria Math" w:cs="Times New Roman"/>
                <w:i/>
                <w:sz w:val="22"/>
                <w:szCs w:val="22"/>
              </w:rPr>
            </m:ctrlPr>
          </m:sSubPr>
          <m:e>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V</m:t>
                </m:r>
              </m:den>
            </m:f>
            <m:d>
              <m:dPr>
                <m:ctrlPr>
                  <w:rPr>
                    <w:rFonts w:ascii="Cambria Math" w:hAnsi="Cambria Math" w:cs="Times New Roman"/>
                    <w:i/>
                    <w:sz w:val="22"/>
                    <w:szCs w:val="22"/>
                  </w:rPr>
                </m:ctrlPr>
              </m:dPr>
              <m:e>
                <m:r>
                  <w:rPr>
                    <w:rFonts w:ascii="Cambria Math" w:hAnsi="Cambria Math" w:cs="Times New Roman"/>
                    <w:sz w:val="22"/>
                    <w:szCs w:val="22"/>
                  </w:rPr>
                  <m:t>0-A</m:t>
                </m:r>
              </m:e>
            </m:d>
            <m:r>
              <w:rPr>
                <w:rFonts w:ascii="Cambria Math" w:hAnsi="Cambria Math" w:cs="Times New Roman"/>
                <w:sz w:val="22"/>
                <w:szCs w:val="22"/>
              </w:rPr>
              <m:t>+q</m:t>
            </m:r>
          </m:e>
          <m:sub>
            <m:r>
              <w:rPr>
                <w:rFonts w:ascii="Cambria Math" w:hAnsi="Cambria Math" w:cs="Times New Roman"/>
                <w:sz w:val="22"/>
                <w:szCs w:val="22"/>
              </w:rPr>
              <m:t>sA</m:t>
            </m:r>
          </m:sub>
        </m:sSub>
        <m:r>
          <w:rPr>
            <w:rFonts w:ascii="Cambria Math" w:hAnsi="Cambria Math" w:cs="Times New Roman"/>
            <w:sz w:val="22"/>
            <w:szCs w:val="22"/>
          </w:rPr>
          <m:t>X</m:t>
        </m:r>
      </m:oMath>
      <w:r w:rsidR="009E67B7" w:rsidRPr="00E64B5E">
        <w:rPr>
          <w:rFonts w:ascii="Times New Roman" w:hAnsi="Times New Roman" w:cs="Times New Roman"/>
          <w:sz w:val="22"/>
          <w:szCs w:val="22"/>
        </w:rPr>
        <w:t xml:space="preserve">   </w:t>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t>(A.12)</w:t>
      </w:r>
    </w:p>
    <w:p w:rsidR="009E67B7" w:rsidRPr="00E64B5E" w:rsidRDefault="00764096" w:rsidP="00222E28">
      <w:pPr>
        <w:spacing w:line="480" w:lineRule="auto"/>
        <w:jc w:val="both"/>
        <w:rPr>
          <w:rFonts w:ascii="Times New Roman" w:hAnsi="Times New Roman" w:cs="Times New Roman"/>
          <w:sz w:val="22"/>
          <w:szCs w:val="22"/>
        </w:rPr>
      </w:pPr>
      <m:oMath>
        <m:f>
          <m:fPr>
            <m:ctrlPr>
              <w:rPr>
                <w:rFonts w:ascii="Cambria Math" w:hAnsi="Cambria Math" w:cs="Times New Roman"/>
                <w:i/>
                <w:sz w:val="22"/>
                <w:szCs w:val="22"/>
              </w:rPr>
            </m:ctrlPr>
          </m:fPr>
          <m:num>
            <m:r>
              <w:rPr>
                <w:rFonts w:ascii="Cambria Math" w:hAnsi="Cambria Math" w:cs="Times New Roman"/>
                <w:sz w:val="22"/>
                <w:szCs w:val="22"/>
              </w:rPr>
              <m:t>dDOT</m:t>
            </m:r>
          </m:num>
          <m:den>
            <m:r>
              <w:rPr>
                <w:rFonts w:ascii="Cambria Math" w:hAnsi="Cambria Math" w:cs="Times New Roman"/>
                <w:sz w:val="22"/>
                <w:szCs w:val="22"/>
              </w:rPr>
              <m:t>dt</m:t>
            </m:r>
          </m:den>
        </m:f>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La</m:t>
            </m:r>
          </m:sub>
        </m:sSub>
        <m:d>
          <m:dPr>
            <m:ctrlPr>
              <w:rPr>
                <w:rFonts w:ascii="Cambria Math" w:hAnsi="Cambria Math" w:cs="Times New Roman"/>
                <w:i/>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DOT</m:t>
                </m:r>
              </m:e>
              <m:sup>
                <m:r>
                  <w:rPr>
                    <w:rFonts w:ascii="Cambria Math" w:hAnsi="Cambria Math" w:cs="Times New Roman"/>
                    <w:sz w:val="22"/>
                    <w:szCs w:val="22"/>
                  </w:rPr>
                  <m:t>*</m:t>
                </m:r>
              </m:sup>
            </m:sSup>
            <m:r>
              <w:rPr>
                <w:rFonts w:ascii="Cambria Math" w:hAnsi="Cambria Math" w:cs="Times New Roman"/>
                <w:sz w:val="22"/>
                <w:szCs w:val="22"/>
              </w:rPr>
              <m:t>-DOT</m:t>
            </m: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o</m:t>
            </m:r>
          </m:sub>
        </m:sSub>
        <m:r>
          <w:rPr>
            <w:rFonts w:ascii="Cambria Math" w:hAnsi="Cambria Math" w:cs="Times New Roman"/>
            <w:sz w:val="22"/>
            <w:szCs w:val="22"/>
          </w:rPr>
          <m:t>XH</m:t>
        </m:r>
      </m:oMath>
      <w:r w:rsidR="009E67B7" w:rsidRPr="00E64B5E">
        <w:rPr>
          <w:rFonts w:ascii="Times New Roman" w:hAnsi="Times New Roman" w:cs="Times New Roman"/>
          <w:sz w:val="22"/>
          <w:szCs w:val="22"/>
        </w:rPr>
        <w:t xml:space="preserve">  </w:t>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t>(A.13a)</w:t>
      </w:r>
    </w:p>
    <w:p w:rsidR="009E67B7" w:rsidRPr="00E64B5E" w:rsidRDefault="00764096" w:rsidP="00222E28">
      <w:pPr>
        <w:spacing w:line="480" w:lineRule="auto"/>
        <w:jc w:val="both"/>
        <w:rPr>
          <w:rFonts w:ascii="Times New Roman" w:hAnsi="Times New Roman" w:cs="Times New Roman"/>
          <w:sz w:val="22"/>
          <w:szCs w:val="22"/>
        </w:rPr>
      </w:pPr>
      <m:oMath>
        <m:f>
          <m:fPr>
            <m:ctrlPr>
              <w:rPr>
                <w:rFonts w:ascii="Cambria Math" w:hAnsi="Cambria Math" w:cs="Times New Roman"/>
                <w:i/>
                <w:sz w:val="22"/>
                <w:szCs w:val="22"/>
              </w:rPr>
            </m:ctrlPr>
          </m:fPr>
          <m:num>
            <m:r>
              <w:rPr>
                <w:rFonts w:ascii="Cambria Math" w:hAnsi="Cambria Math" w:cs="Times New Roman"/>
                <w:sz w:val="22"/>
                <w:szCs w:val="22"/>
              </w:rPr>
              <m:t>d</m:t>
            </m:r>
            <m:sSup>
              <m:sSupPr>
                <m:ctrlPr>
                  <w:rPr>
                    <w:rFonts w:ascii="Cambria Math" w:hAnsi="Cambria Math" w:cs="Times New Roman"/>
                    <w:i/>
                    <w:sz w:val="22"/>
                    <w:szCs w:val="22"/>
                  </w:rPr>
                </m:ctrlPr>
              </m:sSupPr>
              <m:e>
                <m:r>
                  <w:rPr>
                    <w:rFonts w:ascii="Cambria Math" w:hAnsi="Cambria Math" w:cs="Times New Roman"/>
                    <w:sz w:val="22"/>
                    <w:szCs w:val="22"/>
                  </w:rPr>
                  <m:t>DOT</m:t>
                </m:r>
              </m:e>
              <m:sup>
                <m:r>
                  <w:rPr>
                    <w:rFonts w:ascii="Cambria Math" w:hAnsi="Cambria Math" w:cs="Times New Roman"/>
                    <w:sz w:val="22"/>
                    <w:szCs w:val="22"/>
                  </w:rPr>
                  <m:t>m</m:t>
                </m:r>
              </m:sup>
            </m:sSup>
          </m:num>
          <m:den>
            <m:r>
              <w:rPr>
                <w:rFonts w:ascii="Cambria Math" w:hAnsi="Cambria Math" w:cs="Times New Roman"/>
                <w:sz w:val="22"/>
                <w:szCs w:val="22"/>
              </w:rPr>
              <m:t>dt</m:t>
            </m:r>
          </m:den>
        </m:f>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p</m:t>
            </m:r>
          </m:sub>
        </m:sSub>
        <m:d>
          <m:dPr>
            <m:ctrlPr>
              <w:rPr>
                <w:rFonts w:ascii="Cambria Math" w:hAnsi="Cambria Math" w:cs="Times New Roman"/>
                <w:i/>
                <w:sz w:val="22"/>
                <w:szCs w:val="22"/>
              </w:rPr>
            </m:ctrlPr>
          </m:dPr>
          <m:e>
            <m:r>
              <w:rPr>
                <w:rFonts w:ascii="Cambria Math" w:hAnsi="Cambria Math" w:cs="Times New Roman"/>
                <w:sz w:val="22"/>
                <w:szCs w:val="22"/>
              </w:rPr>
              <m:t>DOT-</m:t>
            </m:r>
            <m:sSup>
              <m:sSupPr>
                <m:ctrlPr>
                  <w:rPr>
                    <w:rFonts w:ascii="Cambria Math" w:hAnsi="Cambria Math" w:cs="Times New Roman"/>
                    <w:i/>
                    <w:sz w:val="22"/>
                    <w:szCs w:val="22"/>
                  </w:rPr>
                </m:ctrlPr>
              </m:sSupPr>
              <m:e>
                <m:r>
                  <w:rPr>
                    <w:rFonts w:ascii="Cambria Math" w:hAnsi="Cambria Math" w:cs="Times New Roman"/>
                    <w:sz w:val="22"/>
                    <w:szCs w:val="22"/>
                  </w:rPr>
                  <m:t>DOT</m:t>
                </m:r>
              </m:e>
              <m:sup>
                <m:r>
                  <w:rPr>
                    <w:rFonts w:ascii="Cambria Math" w:hAnsi="Cambria Math" w:cs="Times New Roman"/>
                    <w:sz w:val="22"/>
                    <w:szCs w:val="22"/>
                  </w:rPr>
                  <m:t>m</m:t>
                </m:r>
              </m:sup>
            </m:sSup>
          </m:e>
        </m:d>
      </m:oMath>
      <w:r w:rsidR="009E67B7" w:rsidRPr="00E64B5E">
        <w:rPr>
          <w:rFonts w:ascii="Times New Roman" w:hAnsi="Times New Roman" w:cs="Times New Roman"/>
          <w:sz w:val="22"/>
          <w:szCs w:val="22"/>
        </w:rPr>
        <w:t xml:space="preserve">  </w:t>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r>
      <w:r w:rsidR="009E67B7" w:rsidRPr="00E64B5E">
        <w:rPr>
          <w:rFonts w:ascii="Times New Roman" w:hAnsi="Times New Roman" w:cs="Times New Roman"/>
          <w:sz w:val="22"/>
          <w:szCs w:val="22"/>
        </w:rPr>
        <w:tab/>
        <w:t>(A.14)</w:t>
      </w:r>
    </w:p>
    <w:p w:rsidR="009E67B7" w:rsidRPr="00E64B5E" w:rsidRDefault="00764096" w:rsidP="00222E28">
      <w:pPr>
        <w:spacing w:line="480" w:lineRule="auto"/>
        <w:jc w:val="both"/>
        <w:rPr>
          <w:rFonts w:ascii="Times New Roman" w:hAnsi="Times New Roman" w:cs="Times New Roman"/>
          <w:color w:val="000000" w:themeColor="text1"/>
          <w:sz w:val="22"/>
          <w:szCs w:val="22"/>
        </w:rPr>
      </w:pPr>
      <m:oMath>
        <m:f>
          <m:fPr>
            <m:ctrlPr>
              <w:rPr>
                <w:rFonts w:ascii="Cambria Math" w:hAnsi="Cambria Math" w:cs="Times New Roman"/>
                <w:i/>
                <w:color w:val="000000" w:themeColor="text1"/>
                <w:sz w:val="22"/>
                <w:szCs w:val="22"/>
              </w:rPr>
            </m:ctrlPr>
          </m:fPr>
          <m:num>
            <m:r>
              <w:rPr>
                <w:rFonts w:ascii="Cambria Math" w:hAnsi="Cambria Math" w:cs="Times New Roman"/>
                <w:color w:val="000000" w:themeColor="text1"/>
                <w:sz w:val="22"/>
                <w:szCs w:val="22"/>
              </w:rPr>
              <m:t>dP</m:t>
            </m:r>
          </m:num>
          <m:den>
            <m:r>
              <w:rPr>
                <w:rFonts w:ascii="Cambria Math" w:hAnsi="Cambria Math" w:cs="Times New Roman"/>
                <w:color w:val="000000" w:themeColor="text1"/>
                <w:sz w:val="22"/>
                <w:szCs w:val="22"/>
              </w:rPr>
              <m:t>dt</m:t>
            </m:r>
          </m:den>
        </m:f>
        <m:r>
          <w:rPr>
            <w:rFonts w:ascii="Cambria Math" w:hAnsi="Cambria Math" w:cs="Times New Roman"/>
            <w:color w:val="000000" w:themeColor="text1"/>
            <w:sz w:val="22"/>
            <w:szCs w:val="22"/>
          </w:rPr>
          <m:t xml:space="preserve">= </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q</m:t>
            </m:r>
          </m:e>
          <m:sub>
            <m:r>
              <w:rPr>
                <w:rFonts w:ascii="Cambria Math" w:hAnsi="Cambria Math" w:cs="Times New Roman"/>
                <w:color w:val="000000" w:themeColor="text1"/>
                <w:sz w:val="22"/>
                <w:szCs w:val="22"/>
              </w:rPr>
              <m:t>p</m:t>
            </m:r>
          </m:sub>
        </m:sSub>
        <m:r>
          <w:rPr>
            <w:rFonts w:ascii="Cambria Math" w:hAnsi="Cambria Math" w:cs="Times New Roman"/>
            <w:color w:val="000000" w:themeColor="text1"/>
            <w:sz w:val="22"/>
            <w:szCs w:val="22"/>
          </w:rPr>
          <m:t>-μP</m:t>
        </m:r>
      </m:oMath>
      <w:r w:rsidR="009E67B7" w:rsidRPr="00E64B5E">
        <w:rPr>
          <w:rFonts w:ascii="Times New Roman" w:hAnsi="Times New Roman" w:cs="Times New Roman"/>
          <w:color w:val="000000" w:themeColor="text1"/>
          <w:sz w:val="22"/>
          <w:szCs w:val="22"/>
        </w:rPr>
        <w:t xml:space="preserve">   </w:t>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r>
      <w:r w:rsidR="009E67B7" w:rsidRPr="00E64B5E">
        <w:rPr>
          <w:rFonts w:ascii="Times New Roman" w:hAnsi="Times New Roman" w:cs="Times New Roman"/>
          <w:color w:val="000000" w:themeColor="text1"/>
          <w:sz w:val="22"/>
          <w:szCs w:val="22"/>
        </w:rPr>
        <w:tab/>
        <w:t xml:space="preserve"> </w:t>
      </w:r>
      <w:r w:rsidR="009E67B7" w:rsidRPr="00E64B5E">
        <w:rPr>
          <w:rFonts w:ascii="Times New Roman" w:hAnsi="Times New Roman" w:cs="Times New Roman"/>
          <w:color w:val="000000" w:themeColor="text1"/>
          <w:sz w:val="22"/>
          <w:szCs w:val="22"/>
        </w:rPr>
        <w:tab/>
        <w:t>(A.15)</w:t>
      </w:r>
    </w:p>
    <w:p w:rsidR="009E67B7" w:rsidRPr="00E64B5E" w:rsidRDefault="009E67B7" w:rsidP="00222E28">
      <w:pPr>
        <w:spacing w:line="480" w:lineRule="auto"/>
        <w:jc w:val="both"/>
        <w:rPr>
          <w:rFonts w:ascii="Times New Roman" w:hAnsi="Times New Roman" w:cs="Times New Roman"/>
          <w:sz w:val="22"/>
          <w:szCs w:val="22"/>
        </w:rPr>
      </w:pPr>
    </w:p>
    <w:p w:rsidR="009E67B7" w:rsidRPr="00E64B5E" w:rsidRDefault="009E67B7" w:rsidP="00222E28">
      <w:pPr>
        <w:spacing w:line="480" w:lineRule="auto"/>
        <w:jc w:val="both"/>
        <w:rPr>
          <w:rFonts w:ascii="Times New Roman" w:hAnsi="Times New Roman" w:cs="Times New Roman"/>
          <w:sz w:val="22"/>
          <w:szCs w:val="22"/>
        </w:rPr>
      </w:pPr>
      <w:r w:rsidRPr="00E64B5E">
        <w:rPr>
          <w:rFonts w:ascii="Times New Roman" w:hAnsi="Times New Roman" w:cs="Times New Roman"/>
          <w:sz w:val="22"/>
          <w:szCs w:val="22"/>
        </w:rPr>
        <w:t xml:space="preserve">There is a significant difference between biological </w:t>
      </w:r>
      <w:r w:rsidRPr="00E64B5E">
        <w:rPr>
          <w:rFonts w:ascii="Times New Roman" w:hAnsi="Times New Roman" w:cs="Times New Roman"/>
          <w:i/>
          <w:sz w:val="22"/>
          <w:szCs w:val="22"/>
        </w:rPr>
        <w:t>times</w:t>
      </w:r>
      <w:r w:rsidRPr="00E64B5E">
        <w:rPr>
          <w:rFonts w:ascii="Times New Roman" w:hAnsi="Times New Roman" w:cs="Times New Roman"/>
          <w:sz w:val="22"/>
          <w:szCs w:val="22"/>
        </w:rPr>
        <w:t xml:space="preserve"> of macroscopic phenomena (growth and cell division, as captured in equation A.7 &amp; A.10) and mass transfer times (Equations A.8 and A.13). The time required for diffusion of oxygen across the gas-liquid interphase into the fermentation broth is several orders of magnitude greater than the cell division time </w:t>
      </w:r>
      <w:r w:rsidRPr="00E64B5E">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{"citationItems":[{"id":"ITEM-1","itemData":{"DOI":"10.1385/MB:34:3:355","ISBN":"1073-6085","ISSN":"1073-6085","PMID":"17284782","abstract":"The presence of spatial gradients in fundamental culture parameters, such as dissolved gases, pH, concentration of substrates, and shear rate, among others, is an important problem that frequently occurs in large-scale bioreactors. This problem is caused by a deficient mixing that results from limitations inherent to traditional scale-up methods and practical constraints during large-scale bioreactor design and operation. When cultured in a heterogeneous environment, cells are continuously exposed to fluctuating conditions as they travel through the various zones of a bioreactor. Such fluctuations can affect cell metabolism, yields, and quality of the products of interest. In this review, the theoretical analyses that predict the existence of environmental gradients in bioreactors and their experimental confirmation are reviewed. The origins of gradients in common culture parameters and their effects on various organisms of biotechnological importance are discussed. In particular, studies based on the scale-down methodology, a convenient tool for assessing the effect of environmental heterogeneities, are surveyed.","author":[{"dropping-particle":"","family":"Lara","given":"Alvaro R","non-dropping-particle":"","parse-names":false,"suffix":""},{"dropping-particle":"","family":"Galindo","given":"Enrique","non-dropping-particle":"","parse-names":false,"suffix":""},{"dropping-particle":"","family":"Ramírez","given":"Octavio T.","non-dropping-particle":"","parse-names":false,"suffix":""},{"dropping-particle":"","family":"Palomares","given":"Laura A","non-dropping-particle":"","parse-names":false,"suffix":""}],"container-title":"Molecular Biotechnology","id":"ITEM-1","issue":"3","issued":{"date-parts":[["2006"]]},"page":"355-382","title":"Living With Heterogeneities in Bioreactors: Understanding the Effects of Environmental Gradients on Cells","type":"article-journal","volume":"34"},"uris":["http://www.mendeley.com/documents/?uuid=d9fcb882-a397-47ce-9c6f-407bc530f790"]}],"mendeley":{"formattedCitation":"(Lara et al., 2006)","plainTextFormattedCitation":"(Lara et al., 2006)","previouslyFormattedCitation":"[31]"},"properties":{"noteIndex":0},"schema":"https://github.com/citation-style-language/schema/raw/master/csl-citation.json"}</w:instrText>
      </w:r>
      <w:r w:rsidRPr="00E64B5E">
        <w:rPr>
          <w:rFonts w:ascii="Times New Roman" w:hAnsi="Times New Roman" w:cs="Times New Roman"/>
          <w:sz w:val="22"/>
          <w:szCs w:val="22"/>
        </w:rPr>
        <w:fldChar w:fldCharType="separate"/>
      </w:r>
      <w:r w:rsidRPr="00867CFC">
        <w:rPr>
          <w:rFonts w:ascii="Times New Roman" w:hAnsi="Times New Roman" w:cs="Times New Roman"/>
          <w:noProof/>
          <w:sz w:val="22"/>
          <w:szCs w:val="22"/>
        </w:rPr>
        <w:t>(Lara et al., 2006)</w:t>
      </w:r>
      <w:r w:rsidRPr="00E64B5E">
        <w:rPr>
          <w:rFonts w:ascii="Times New Roman" w:hAnsi="Times New Roman" w:cs="Times New Roman"/>
          <w:sz w:val="22"/>
          <w:szCs w:val="22"/>
        </w:rPr>
        <w:fldChar w:fldCharType="end"/>
      </w:r>
      <w:r w:rsidRPr="00E64B5E">
        <w:rPr>
          <w:rFonts w:ascii="Times New Roman" w:hAnsi="Times New Roman" w:cs="Times New Roman"/>
          <w:sz w:val="22"/>
          <w:szCs w:val="22"/>
        </w:rPr>
        <w:t>. The coupling of two differential equations describing a slow process and a very fast process results in a stiff ODE system, which  is mathematically difficult to handle. Since oxygen transfer was considered to be very fast, the concentration of dissolved oxygen at any time was considered to be at steady state.  Therefore, Equation A.13a was reduced to the algebraic steady-state solution (Equation A.13b), which was used in the mechanistic model instead of Equation A.13a.</w:t>
      </w:r>
    </w:p>
    <w:p w:rsidR="009E67B7" w:rsidRPr="00E64B5E" w:rsidRDefault="009E67B7" w:rsidP="00222E28">
      <w:pPr>
        <w:spacing w:line="480" w:lineRule="auto"/>
        <w:jc w:val="both"/>
        <w:rPr>
          <w:rFonts w:ascii="Times New Roman" w:hAnsi="Times New Roman" w:cs="Times New Roman"/>
          <w:sz w:val="22"/>
          <w:szCs w:val="22"/>
        </w:rPr>
      </w:pPr>
    </w:p>
    <w:p w:rsidR="009E67B7" w:rsidRPr="00E64B5E" w:rsidRDefault="009E67B7" w:rsidP="00222E28">
      <w:pPr>
        <w:spacing w:line="480" w:lineRule="auto"/>
        <w:jc w:val="both"/>
        <w:rPr>
          <w:rFonts w:ascii="Times New Roman" w:hAnsi="Times New Roman" w:cs="Times New Roman"/>
          <w:sz w:val="22"/>
          <w:szCs w:val="22"/>
        </w:rPr>
      </w:pPr>
      <m:oMath>
        <m:r>
          <w:rPr>
            <w:rFonts w:ascii="Cambria Math" w:hAnsi="Cambria Math" w:cs="Times New Roman"/>
            <w:sz w:val="22"/>
            <w:szCs w:val="22"/>
          </w:rPr>
          <m:t>DOT=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La</m:t>
                </m:r>
              </m:sub>
            </m:sSub>
            <m:sSup>
              <m:sSupPr>
                <m:ctrlPr>
                  <w:rPr>
                    <w:rFonts w:ascii="Cambria Math" w:hAnsi="Cambria Math" w:cs="Times New Roman"/>
                    <w:i/>
                    <w:sz w:val="22"/>
                    <w:szCs w:val="22"/>
                  </w:rPr>
                </m:ctrlPr>
              </m:sSupPr>
              <m:e>
                <m:r>
                  <w:rPr>
                    <w:rFonts w:ascii="Cambria Math" w:hAnsi="Cambria Math" w:cs="Times New Roman"/>
                    <w:sz w:val="22"/>
                    <w:szCs w:val="22"/>
                  </w:rPr>
                  <m:t>DOT</m:t>
                </m:r>
              </m:e>
              <m:sup>
                <m:r>
                  <w:rPr>
                    <w:rFonts w:ascii="Cambria Math" w:hAnsi="Cambria Math" w:cs="Times New Roman"/>
                    <w:sz w:val="22"/>
                    <w:szCs w:val="22"/>
                  </w:rPr>
                  <m:t>*</m:t>
                </m:r>
              </m:sup>
            </m:sSup>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o</m:t>
                </m:r>
              </m:sub>
            </m:sSub>
            <m:r>
              <w:rPr>
                <w:rFonts w:ascii="Cambria Math" w:hAnsi="Cambria Math" w:cs="Times New Roman"/>
                <w:sz w:val="22"/>
                <w:szCs w:val="22"/>
              </w:rPr>
              <m:t>XH</m:t>
            </m:r>
          </m:num>
          <m:den>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La</m:t>
                </m:r>
              </m:sub>
            </m:sSub>
          </m:den>
        </m:f>
      </m:oMath>
      <w:r w:rsidRPr="00E64B5E">
        <w:rPr>
          <w:rFonts w:ascii="Times New Roman" w:hAnsi="Times New Roman" w:cs="Times New Roman"/>
          <w:sz w:val="22"/>
          <w:szCs w:val="22"/>
        </w:rPr>
        <w:t xml:space="preserve">  </w:t>
      </w:r>
      <w:r w:rsidRPr="00E64B5E">
        <w:rPr>
          <w:rFonts w:ascii="Times New Roman" w:hAnsi="Times New Roman" w:cs="Times New Roman"/>
          <w:sz w:val="22"/>
          <w:szCs w:val="22"/>
        </w:rPr>
        <w:tab/>
      </w:r>
      <w:r w:rsidRPr="00E64B5E">
        <w:rPr>
          <w:rFonts w:ascii="Times New Roman" w:hAnsi="Times New Roman" w:cs="Times New Roman"/>
          <w:sz w:val="22"/>
          <w:szCs w:val="22"/>
        </w:rPr>
        <w:tab/>
      </w:r>
      <w:r w:rsidRPr="00E64B5E">
        <w:rPr>
          <w:rFonts w:ascii="Times New Roman" w:hAnsi="Times New Roman" w:cs="Times New Roman"/>
          <w:sz w:val="22"/>
          <w:szCs w:val="22"/>
        </w:rPr>
        <w:tab/>
      </w:r>
      <w:r w:rsidRPr="00E64B5E">
        <w:rPr>
          <w:rFonts w:ascii="Times New Roman" w:hAnsi="Times New Roman" w:cs="Times New Roman"/>
          <w:sz w:val="22"/>
          <w:szCs w:val="22"/>
        </w:rPr>
        <w:tab/>
      </w:r>
      <w:r w:rsidRPr="00E64B5E">
        <w:rPr>
          <w:rFonts w:ascii="Times New Roman" w:hAnsi="Times New Roman" w:cs="Times New Roman"/>
          <w:sz w:val="22"/>
          <w:szCs w:val="22"/>
        </w:rPr>
        <w:tab/>
      </w:r>
      <w:r w:rsidRPr="00E64B5E">
        <w:rPr>
          <w:rFonts w:ascii="Times New Roman" w:hAnsi="Times New Roman" w:cs="Times New Roman"/>
          <w:sz w:val="22"/>
          <w:szCs w:val="22"/>
        </w:rPr>
        <w:tab/>
        <w:t>(A.13b)</w:t>
      </w:r>
    </w:p>
    <w:p w:rsidR="009E67B7" w:rsidRPr="00E64B5E" w:rsidRDefault="009E67B7" w:rsidP="00222E28">
      <w:pPr>
        <w:spacing w:line="480" w:lineRule="auto"/>
        <w:jc w:val="both"/>
        <w:rPr>
          <w:rFonts w:ascii="Times New Roman" w:hAnsi="Times New Roman" w:cs="Times New Roman"/>
          <w:sz w:val="22"/>
          <w:szCs w:val="22"/>
        </w:rPr>
      </w:pPr>
      <w:r w:rsidRPr="00E64B5E">
        <w:rPr>
          <w:rFonts w:ascii="Times New Roman" w:hAnsi="Times New Roman" w:cs="Times New Roman"/>
          <w:sz w:val="22"/>
          <w:szCs w:val="22"/>
        </w:rPr>
        <w:t xml:space="preserve">Additionally, in the presence of a fast changing DOT signal due to the induced gradients (glucose pulses), the response time of the dissolved oxygen probe becomes significant in predicting the DOT profile. This is especially important when the response time of the probe is about 5 or less times slower than the inverse of the </w:t>
      </w:r>
      <w:proofErr w:type="spellStart"/>
      <w:r w:rsidRPr="00E64B5E">
        <w:rPr>
          <w:rFonts w:ascii="Times New Roman" w:hAnsi="Times New Roman" w:cs="Times New Roman"/>
          <w:sz w:val="22"/>
          <w:szCs w:val="22"/>
        </w:rPr>
        <w:t>K</w:t>
      </w:r>
      <w:r w:rsidRPr="00E64B5E">
        <w:rPr>
          <w:rFonts w:ascii="Times New Roman" w:hAnsi="Times New Roman" w:cs="Times New Roman"/>
          <w:sz w:val="22"/>
          <w:szCs w:val="22"/>
          <w:vertAlign w:val="subscript"/>
        </w:rPr>
        <w:t>L</w:t>
      </w:r>
      <w:r w:rsidRPr="00E64B5E">
        <w:rPr>
          <w:rFonts w:ascii="Times New Roman" w:hAnsi="Times New Roman" w:cs="Times New Roman"/>
          <w:sz w:val="22"/>
          <w:szCs w:val="22"/>
        </w:rPr>
        <w:t>a</w:t>
      </w:r>
      <w:proofErr w:type="spellEnd"/>
      <w:r w:rsidRPr="00E64B5E">
        <w:rPr>
          <w:rFonts w:ascii="Times New Roman" w:hAnsi="Times New Roman" w:cs="Times New Roman"/>
          <w:sz w:val="22"/>
          <w:szCs w:val="22"/>
        </w:rPr>
        <w:t xml:space="preserve"> (</w:t>
      </w:r>
      <m:oMath>
        <m:f>
          <m:fPr>
            <m:type m:val="skw"/>
            <m:ctrlPr>
              <w:rPr>
                <w:rFonts w:ascii="Cambria Math" w:hAnsi="Cambria Math" w:cs="Times New Roman"/>
                <w:i/>
                <w:sz w:val="22"/>
                <w:szCs w:val="22"/>
              </w:rPr>
            </m:ctrlPr>
          </m:fPr>
          <m:num>
            <m:r>
              <w:rPr>
                <w:rFonts w:ascii="Cambria Math" w:hAnsi="Cambria Math" w:cs="Times New Roman"/>
                <w:sz w:val="22"/>
                <w:szCs w:val="22"/>
              </w:rPr>
              <m:t>1</m:t>
            </m:r>
          </m:num>
          <m:den>
            <m:sSub>
              <m:sSubPr>
                <m:ctrlPr>
                  <w:rPr>
                    <w:rFonts w:ascii="Cambria Math" w:hAnsi="Cambria Math" w:cs="Times New Roman"/>
                    <w:i/>
                    <w:sz w:val="22"/>
                    <w:szCs w:val="22"/>
                  </w:rPr>
                </m:ctrlPr>
              </m:sSubPr>
              <m:e>
                <m:r>
                  <w:rPr>
                    <w:rFonts w:ascii="Cambria Math" w:hAnsi="Cambria Math" w:cs="Times New Roman"/>
                    <w:sz w:val="22"/>
                    <w:szCs w:val="22"/>
                  </w:rPr>
                  <m:t>5K</m:t>
                </m:r>
              </m:e>
              <m:sub>
                <m:r>
                  <w:rPr>
                    <w:rFonts w:ascii="Cambria Math" w:hAnsi="Cambria Math" w:cs="Times New Roman"/>
                    <w:sz w:val="22"/>
                    <w:szCs w:val="22"/>
                  </w:rPr>
                  <m:t>La</m:t>
                </m:r>
              </m:sub>
            </m:sSub>
          </m:den>
        </m:f>
        <m:r>
          <w:rPr>
            <w:rFonts w:ascii="Cambria Math" w:hAnsi="Cambria Math" w:cs="Times New Roman"/>
            <w:sz w:val="22"/>
            <w:szCs w:val="22"/>
          </w:rPr>
          <m:t>&gt;τ</m:t>
        </m:r>
      </m:oMath>
      <w:r w:rsidRPr="00E64B5E">
        <w:rPr>
          <w:rFonts w:ascii="Times New Roman" w:hAnsi="Times New Roman" w:cs="Times New Roman"/>
          <w:sz w:val="22"/>
          <w:szCs w:val="22"/>
        </w:rPr>
        <w:t xml:space="preserve">) </w:t>
      </w:r>
      <w:r w:rsidRPr="00E64B5E">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{"citationItems":[{"id":"ITEM-1","itemData":{"DOI":"10.1002/1097-4660(200006)75:6&lt;469::AID-JCTB236&gt;3.0.CO;2-4","ISBN":"0268-2575","ISSN":"02682575","abstract":"An alternative way for determining the oxygen mass transfer coefficient, kLa, based upon the traditional dynamic method, is proposed. The oxygen material balance equation in the liquid phase is integrated after insertion of the oxygen probe response time (first order type), and kLa values are determined by employing Marquardt's algorithm, considering as a weighting factor the model's sensitivity with respect to kLa. Bench-scale fermentations of Aspergillus awamori, performed under different agitation (300–700 rpm) and aeration conditions (0.2–0.6 vvm), were utilized for calculating kLa values (0.0283–0.0874 s−1), employing three methods: two so-called traditional, the gas balancing and the dynamic methods, and the one proposed here. The latter method is shown to be as reliable as the aforementioned methods but is easier to apply when the oxygen level in the reactor is above the critical value.","author":[{"dropping-particle":"","family":"Badino","given":"Alberto C.","non-dropping-particle":"","parse-names":false,"suffix":""},{"dropping-particle":"","family":"Cândida","given":"M.","non-dropping-particle":"","parse-names":false,"suffix":""},{"dropping-particle":"","family":"Facciotti","given":"R.","non-dropping-particle":"","parse-names":false,"suffix":""},{"dropping-particle":"","family":"Schmidell","given":"Willibaldo","non-dropping-particle":"","parse-names":false,"suffix":""}],"container-title":"Journal of Chemical Technology and Biotechnology","id":"ITEM-1","issue":"6","issued":{"date-parts":[["2000"]]},"page":"469-474","title":"Improving k(L)a determination in fungal fermentation, taking into account electrode response time","type":"article-journal","volume":"75"},"uris":["http://www.mendeley.com/documents/?uuid=e81c6306-0886-47e3-b22e-de6ea1829cce"]}],"mendeley":{"formattedCitation":"(Badino, Cândida, Facciotti, &amp; Schmidell, 2000)","plainTextFormattedCitation":"(Badino, Cândida, Facciotti, &amp; Schmidell, 2000)","previouslyFormattedCitation":"[37]"},"properties":{"noteIndex":0},"schema":"https://github.com/citation-style-language/schema/raw/master/csl-citation.json"}</w:instrText>
      </w:r>
      <w:r w:rsidRPr="00E64B5E">
        <w:rPr>
          <w:rFonts w:ascii="Times New Roman" w:hAnsi="Times New Roman" w:cs="Times New Roman"/>
          <w:sz w:val="22"/>
          <w:szCs w:val="22"/>
        </w:rPr>
        <w:fldChar w:fldCharType="separate"/>
      </w:r>
      <w:r w:rsidRPr="00867CFC">
        <w:rPr>
          <w:rFonts w:ascii="Times New Roman" w:hAnsi="Times New Roman" w:cs="Times New Roman"/>
          <w:noProof/>
          <w:sz w:val="22"/>
          <w:szCs w:val="22"/>
        </w:rPr>
        <w:t>(Badino, Cândida, Facciotti, &amp; Schmidell, 2000)</w:t>
      </w:r>
      <w:r w:rsidRPr="00E64B5E">
        <w:rPr>
          <w:rFonts w:ascii="Times New Roman" w:hAnsi="Times New Roman" w:cs="Times New Roman"/>
          <w:sz w:val="22"/>
          <w:szCs w:val="22"/>
        </w:rPr>
        <w:fldChar w:fldCharType="end"/>
      </w:r>
      <w:r w:rsidRPr="00E64B5E">
        <w:rPr>
          <w:rFonts w:ascii="Times New Roman" w:hAnsi="Times New Roman" w:cs="Times New Roman"/>
          <w:sz w:val="22"/>
          <w:szCs w:val="22"/>
        </w:rPr>
        <w:t xml:space="preserve">. Since this condition was satisfied for the cultivation system used, </w:t>
      </w:r>
      <w:r w:rsidRPr="00E64B5E">
        <w:rPr>
          <w:rFonts w:ascii="Times New Roman" w:hAnsi="Times New Roman" w:cs="Times New Roman"/>
          <w:sz w:val="22"/>
          <w:szCs w:val="22"/>
        </w:rPr>
        <w:lastRenderedPageBreak/>
        <w:t>a differential equation was added to simulate the measured DOT by the probe (</w:t>
      </w:r>
      <w:proofErr w:type="spellStart"/>
      <w:r w:rsidRPr="00E64B5E">
        <w:rPr>
          <w:rFonts w:ascii="Times New Roman" w:hAnsi="Times New Roman" w:cs="Times New Roman"/>
          <w:sz w:val="22"/>
          <w:szCs w:val="22"/>
        </w:rPr>
        <w:t>DOT</w:t>
      </w:r>
      <w:r w:rsidRPr="00E64B5E">
        <w:rPr>
          <w:rFonts w:ascii="Times New Roman" w:hAnsi="Times New Roman" w:cs="Times New Roman"/>
          <w:sz w:val="22"/>
          <w:szCs w:val="22"/>
          <w:vertAlign w:val="superscript"/>
        </w:rPr>
        <w:t>m</w:t>
      </w:r>
      <w:proofErr w:type="spellEnd"/>
      <w:r w:rsidRPr="00E64B5E">
        <w:rPr>
          <w:rFonts w:ascii="Times New Roman" w:hAnsi="Times New Roman" w:cs="Times New Roman"/>
          <w:sz w:val="22"/>
          <w:szCs w:val="22"/>
        </w:rPr>
        <w:t xml:space="preserve">) which takes into account the probe response time </w:t>
      </w:r>
      <m:oMath>
        <m:r>
          <w:rPr>
            <w:rFonts w:ascii="Cambria Math" w:hAnsi="Cambria Math" w:cs="Times New Roman"/>
            <w:sz w:val="22"/>
            <w:szCs w:val="22"/>
          </w:rPr>
          <m:t>τ</m:t>
        </m:r>
      </m:oMath>
      <w:r w:rsidRPr="00E64B5E">
        <w:rPr>
          <w:rFonts w:ascii="Times New Roman" w:hAnsi="Times New Roman" w:cs="Times New Roman"/>
          <w:sz w:val="22"/>
          <w:szCs w:val="22"/>
        </w:rPr>
        <w:t xml:space="preserve">, where </w:t>
      </w:r>
      <m:oMath>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p</m:t>
            </m:r>
          </m:sub>
        </m:sSub>
        <m:r>
          <w:rPr>
            <w:rFonts w:ascii="Cambria Math" w:hAnsi="Cambria Math" w:cs="Times New Roman"/>
            <w:sz w:val="22"/>
            <w:szCs w:val="22"/>
          </w:rPr>
          <m:t>=</m:t>
        </m:r>
        <m:f>
          <m:fPr>
            <m:type m:val="skw"/>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τ</m:t>
            </m:r>
          </m:den>
        </m:f>
      </m:oMath>
      <w:r w:rsidRPr="00E64B5E">
        <w:rPr>
          <w:rFonts w:ascii="Times New Roman" w:hAnsi="Times New Roman" w:cs="Times New Roman"/>
          <w:sz w:val="22"/>
          <w:szCs w:val="22"/>
        </w:rPr>
        <w:t>. Therefore, the actual dissolved oxygen, which was solved algebraically was equal to the measured DOT, only after the elapse of the response time under equilibrium conditions.</w:t>
      </w:r>
    </w:p>
    <w:p w:rsidR="009E67B7" w:rsidRPr="00E64B5E" w:rsidRDefault="009E67B7" w:rsidP="00222E28">
      <w:pPr>
        <w:spacing w:line="480" w:lineRule="auto"/>
        <w:jc w:val="both"/>
        <w:rPr>
          <w:rFonts w:ascii="Times New Roman" w:hAnsi="Times New Roman" w:cs="Times New Roman"/>
          <w:sz w:val="22"/>
          <w:szCs w:val="22"/>
        </w:rPr>
      </w:pPr>
      <w:r w:rsidRPr="00E64B5E">
        <w:rPr>
          <w:rFonts w:ascii="Times New Roman" w:hAnsi="Times New Roman" w:cs="Times New Roman"/>
          <w:sz w:val="22"/>
          <w:szCs w:val="22"/>
        </w:rPr>
        <w:t>The model (Equations A.1—A.14) was compiled as a single mathematical function (</w:t>
      </w:r>
      <w:proofErr w:type="spellStart"/>
      <w:r w:rsidRPr="00E64B5E">
        <w:rPr>
          <w:rFonts w:ascii="Times New Roman" w:hAnsi="Times New Roman" w:cs="Times New Roman"/>
          <w:sz w:val="22"/>
          <w:szCs w:val="22"/>
        </w:rPr>
        <w:t>e_colimodel</w:t>
      </w:r>
      <w:proofErr w:type="spellEnd"/>
      <w:r w:rsidRPr="00E64B5E">
        <w:rPr>
          <w:rFonts w:ascii="Times New Roman" w:hAnsi="Times New Roman" w:cs="Times New Roman"/>
          <w:sz w:val="22"/>
          <w:szCs w:val="22"/>
        </w:rPr>
        <w:t xml:space="preserve">) and implemented in </w:t>
      </w:r>
      <w:proofErr w:type="spellStart"/>
      <w:r w:rsidRPr="00E64B5E">
        <w:rPr>
          <w:rFonts w:ascii="Times New Roman" w:hAnsi="Times New Roman" w:cs="Times New Roman"/>
          <w:sz w:val="22"/>
          <w:szCs w:val="22"/>
        </w:rPr>
        <w:t>Matlab</w:t>
      </w:r>
      <w:proofErr w:type="spellEnd"/>
      <w:r w:rsidRPr="00E64B5E">
        <w:rPr>
          <w:rFonts w:ascii="Times New Roman" w:hAnsi="Times New Roman" w:cs="Times New Roman"/>
          <w:sz w:val="22"/>
          <w:szCs w:val="22"/>
          <w:vertAlign w:val="superscript"/>
        </w:rPr>
        <w:t>®</w:t>
      </w:r>
      <w:r w:rsidRPr="00E64B5E">
        <w:rPr>
          <w:rFonts w:ascii="Times New Roman" w:hAnsi="Times New Roman" w:cs="Times New Roman"/>
          <w:sz w:val="22"/>
          <w:szCs w:val="22"/>
        </w:rPr>
        <w:t xml:space="preserve"> R2016a. The model was integrated with ode15s solver and parameter estimation was done with the </w:t>
      </w:r>
      <w:proofErr w:type="spellStart"/>
      <w:r w:rsidRPr="00E64B5E">
        <w:rPr>
          <w:rFonts w:ascii="Times New Roman" w:hAnsi="Times New Roman" w:cs="Times New Roman"/>
          <w:i/>
          <w:sz w:val="22"/>
          <w:szCs w:val="22"/>
        </w:rPr>
        <w:t>fmincon</w:t>
      </w:r>
      <w:proofErr w:type="spellEnd"/>
      <w:r w:rsidRPr="00E64B5E">
        <w:rPr>
          <w:rFonts w:ascii="Times New Roman" w:hAnsi="Times New Roman" w:cs="Times New Roman"/>
          <w:sz w:val="22"/>
          <w:szCs w:val="22"/>
        </w:rPr>
        <w:t xml:space="preserve"> optimization routine in </w:t>
      </w:r>
      <w:proofErr w:type="spellStart"/>
      <w:r w:rsidRPr="00E64B5E">
        <w:rPr>
          <w:rFonts w:ascii="Times New Roman" w:hAnsi="Times New Roman" w:cs="Times New Roman"/>
          <w:sz w:val="22"/>
          <w:szCs w:val="22"/>
        </w:rPr>
        <w:t>Matlab</w:t>
      </w:r>
      <w:proofErr w:type="spellEnd"/>
      <w:r>
        <w:rPr>
          <w:rFonts w:ascii="Times New Roman" w:hAnsi="Times New Roman" w:cs="Times New Roman"/>
          <w:sz w:val="22"/>
          <w:szCs w:val="22"/>
        </w:rPr>
        <w:t>, using the interior-point algorithm</w:t>
      </w:r>
      <w:r w:rsidRPr="00E64B5E">
        <w:rPr>
          <w:rFonts w:ascii="Times New Roman" w:hAnsi="Times New Roman" w:cs="Times New Roman"/>
          <w:sz w:val="22"/>
          <w:szCs w:val="22"/>
        </w:rPr>
        <w:t>.</w:t>
      </w:r>
    </w:p>
    <w:p w:rsidR="009E67B7" w:rsidRDefault="009E67B7" w:rsidP="00222E28">
      <w:pPr>
        <w:tabs>
          <w:tab w:val="left" w:pos="1617"/>
        </w:tabs>
        <w:spacing w:line="480" w:lineRule="auto"/>
        <w:rPr>
          <w:rFonts w:ascii="Times New Roman" w:hAnsi="Times New Roman" w:cs="Times New Roman"/>
          <w:b/>
          <w:sz w:val="22"/>
          <w:szCs w:val="22"/>
        </w:rPr>
      </w:pPr>
    </w:p>
    <w:p w:rsidR="009E67B7" w:rsidRDefault="009E67B7" w:rsidP="00222E28">
      <w:pPr>
        <w:tabs>
          <w:tab w:val="left" w:pos="1617"/>
        </w:tabs>
        <w:spacing w:line="480" w:lineRule="auto"/>
        <w:rPr>
          <w:rFonts w:ascii="Times New Roman" w:hAnsi="Times New Roman" w:cs="Times New Roman"/>
          <w:b/>
          <w:sz w:val="22"/>
          <w:szCs w:val="22"/>
        </w:rPr>
      </w:pPr>
    </w:p>
    <w:p w:rsidR="009E67B7" w:rsidRDefault="009E67B7" w:rsidP="00E40117">
      <w:pPr>
        <w:spacing w:line="480" w:lineRule="auto"/>
        <w:jc w:val="both"/>
        <w:outlineLvl w:val="0"/>
        <w:rPr>
          <w:rFonts w:ascii="Times New Roman" w:hAnsi="Times New Roman" w:cs="Times New Roman"/>
          <w:b/>
          <w:sz w:val="22"/>
          <w:szCs w:val="22"/>
        </w:rPr>
      </w:pPr>
      <w:r>
        <w:rPr>
          <w:rFonts w:ascii="Times New Roman" w:hAnsi="Times New Roman" w:cs="Times New Roman"/>
          <w:b/>
          <w:sz w:val="22"/>
          <w:szCs w:val="22"/>
        </w:rPr>
        <w:t xml:space="preserve">A.2 </w:t>
      </w:r>
      <w:r w:rsidR="00E40117">
        <w:rPr>
          <w:rFonts w:ascii="Times New Roman" w:hAnsi="Times New Roman" w:cs="Times New Roman"/>
          <w:b/>
          <w:sz w:val="22"/>
          <w:szCs w:val="22"/>
        </w:rPr>
        <w:t xml:space="preserve"> Further Results</w:t>
      </w:r>
    </w:p>
    <w:p w:rsidR="009E67B7" w:rsidRDefault="009E67B7" w:rsidP="00222E28">
      <w:pPr>
        <w:tabs>
          <w:tab w:val="left" w:pos="1617"/>
        </w:tabs>
        <w:spacing w:line="480" w:lineRule="auto"/>
        <w:rPr>
          <w:rFonts w:ascii="Times New Roman" w:hAnsi="Times New Roman" w:cs="Times New Roman"/>
          <w:b/>
          <w:sz w:val="22"/>
          <w:szCs w:val="22"/>
        </w:rPr>
      </w:pPr>
    </w:p>
    <w:p w:rsidR="009E67B7" w:rsidRPr="007020DA" w:rsidRDefault="009E67B7" w:rsidP="00222E28">
      <w:pPr>
        <w:tabs>
          <w:tab w:val="left" w:pos="1617"/>
        </w:tabs>
        <w:spacing w:line="480" w:lineRule="auto"/>
        <w:jc w:val="both"/>
        <w:rPr>
          <w:rFonts w:ascii="Times New Roman" w:hAnsi="Times New Roman" w:cs="Times New Roman"/>
          <w:sz w:val="22"/>
          <w:szCs w:val="22"/>
        </w:rPr>
      </w:pPr>
      <w:r w:rsidRPr="007020DA">
        <w:rPr>
          <w:rFonts w:ascii="Times New Roman" w:hAnsi="Times New Roman" w:cs="Times New Roman"/>
          <w:sz w:val="22"/>
          <w:szCs w:val="22"/>
        </w:rPr>
        <w:t xml:space="preserve">Figure A.1 </w:t>
      </w:r>
      <w:r>
        <w:rPr>
          <w:rFonts w:ascii="Times New Roman" w:hAnsi="Times New Roman" w:cs="Times New Roman"/>
          <w:sz w:val="22"/>
          <w:szCs w:val="22"/>
        </w:rPr>
        <w:t xml:space="preserve">Growth profile and metabolic response of </w:t>
      </w:r>
      <w:r w:rsidRPr="002328E2">
        <w:rPr>
          <w:rFonts w:ascii="Times New Roman" w:hAnsi="Times New Roman" w:cs="Times New Roman"/>
          <w:i/>
          <w:color w:val="000000" w:themeColor="text1"/>
          <w:sz w:val="22"/>
          <w:szCs w:val="22"/>
        </w:rPr>
        <w:t>E. coli</w:t>
      </w:r>
      <w:r w:rsidRPr="002328E2">
        <w:rPr>
          <w:rFonts w:ascii="Times New Roman" w:hAnsi="Times New Roman" w:cs="Times New Roman"/>
          <w:sz w:val="22"/>
          <w:szCs w:val="22"/>
        </w:rPr>
        <w:t xml:space="preserve"> </w:t>
      </w:r>
      <w:r>
        <w:rPr>
          <w:rFonts w:ascii="Times New Roman" w:hAnsi="Times New Roman" w:cs="Times New Roman"/>
          <w:sz w:val="22"/>
          <w:szCs w:val="22"/>
        </w:rPr>
        <w:t xml:space="preserve"> to the various cultivation conditions induced in the scale-down cultivations in the parallel minibioreactors (See Table 1 for description of the various conditions). Each plot represents the average of the triplicate runs of that condition, whereas error bars represent the standard deviation of the triplicate runs. Dotted lines indicate the start of exponential feed fed-batch (at 5.6 hours) and the point of induction with a switch to constant feed at 9 hours.</w:t>
      </w:r>
    </w:p>
    <w:p w:rsidR="009E67B7" w:rsidRDefault="009E67B7" w:rsidP="00222E28">
      <w:pPr>
        <w:spacing w:line="480" w:lineRule="auto"/>
      </w:pPr>
      <w:bookmarkStart w:id="0" w:name="_GoBack"/>
      <w:bookmarkEnd w:id="0"/>
    </w:p>
    <w:p w:rsidR="001A72C0" w:rsidRDefault="001A72C0" w:rsidP="00222E28">
      <w:pPr>
        <w:spacing w:line="480" w:lineRule="auto"/>
      </w:pPr>
    </w:p>
    <w:p w:rsidR="00F57A0F" w:rsidRPr="001A72C0" w:rsidRDefault="00876B18" w:rsidP="00222E28">
      <w:pPr>
        <w:spacing w:line="480" w:lineRule="auto"/>
        <w:rPr>
          <w:color w:val="000000" w:themeColor="text1"/>
          <w:sz w:val="22"/>
          <w:szCs w:val="22"/>
          <w:lang w:val="en-US"/>
        </w:rPr>
      </w:pPr>
      <w:r w:rsidRPr="00A62B7F">
        <w:rPr>
          <w:rFonts w:ascii="Times New Roman" w:hAnsi="Times New Roman" w:cs="Times New Roman"/>
          <w:sz w:val="22"/>
          <w:szCs w:val="22"/>
        </w:rPr>
        <w:t xml:space="preserve">Figure A.2 </w:t>
      </w:r>
      <w:r w:rsidRPr="00764096">
        <w:rPr>
          <w:rFonts w:ascii="Times New Roman" w:hAnsi="Times New Roman" w:cs="Times New Roman"/>
          <w:color w:val="FF0000"/>
          <w:sz w:val="22"/>
          <w:szCs w:val="22"/>
        </w:rPr>
        <w:t xml:space="preserve">Influence of glucose pulses on the concentration of the non-canonical amino acids </w:t>
      </w:r>
      <w:proofErr w:type="spellStart"/>
      <w:r w:rsidRPr="00764096">
        <w:rPr>
          <w:rFonts w:ascii="Times New Roman" w:hAnsi="Times New Roman" w:cs="Times New Roman"/>
          <w:color w:val="FF0000"/>
          <w:sz w:val="22"/>
          <w:szCs w:val="22"/>
        </w:rPr>
        <w:t>norleucine</w:t>
      </w:r>
      <w:proofErr w:type="spellEnd"/>
      <w:r w:rsidRPr="00764096">
        <w:rPr>
          <w:rFonts w:ascii="Times New Roman" w:hAnsi="Times New Roman" w:cs="Times New Roman"/>
          <w:color w:val="FF0000"/>
          <w:sz w:val="22"/>
          <w:szCs w:val="22"/>
        </w:rPr>
        <w:t xml:space="preserve"> (</w:t>
      </w:r>
      <w:proofErr w:type="spellStart"/>
      <w:r w:rsidRPr="00764096">
        <w:rPr>
          <w:rFonts w:ascii="Times New Roman" w:hAnsi="Times New Roman" w:cs="Times New Roman"/>
          <w:color w:val="FF0000"/>
          <w:sz w:val="22"/>
          <w:szCs w:val="22"/>
        </w:rPr>
        <w:t>Nle</w:t>
      </w:r>
      <w:proofErr w:type="spellEnd"/>
      <w:r w:rsidRPr="00764096">
        <w:rPr>
          <w:rFonts w:ascii="Times New Roman" w:hAnsi="Times New Roman" w:cs="Times New Roman"/>
          <w:color w:val="FF0000"/>
          <w:sz w:val="22"/>
          <w:szCs w:val="22"/>
        </w:rPr>
        <w:t xml:space="preserve">) and </w:t>
      </w:r>
      <w:r w:rsidRPr="00764096">
        <w:rPr>
          <w:rFonts w:ascii="Times New Roman" w:hAnsi="Times New Roman" w:cs="Times New Roman"/>
          <w:color w:val="FF0000"/>
          <w:sz w:val="22"/>
          <w:szCs w:val="22"/>
          <w:lang w:val="en-US"/>
        </w:rPr>
        <w:t xml:space="preserve">β-Methyl </w:t>
      </w:r>
      <w:proofErr w:type="spellStart"/>
      <w:r w:rsidRPr="00764096">
        <w:rPr>
          <w:rFonts w:ascii="Times New Roman" w:hAnsi="Times New Roman" w:cs="Times New Roman"/>
          <w:color w:val="FF0000"/>
          <w:sz w:val="22"/>
          <w:szCs w:val="22"/>
          <w:lang w:val="en-US"/>
        </w:rPr>
        <w:t>norleucine</w:t>
      </w:r>
      <w:proofErr w:type="spellEnd"/>
      <w:r w:rsidRPr="00764096">
        <w:rPr>
          <w:rFonts w:ascii="Times New Roman" w:hAnsi="Times New Roman" w:cs="Times New Roman"/>
          <w:color w:val="FF0000"/>
          <w:sz w:val="22"/>
          <w:szCs w:val="22"/>
          <w:lang w:val="en-US"/>
        </w:rPr>
        <w:t xml:space="preserve"> (β-</w:t>
      </w:r>
      <w:proofErr w:type="spellStart"/>
      <w:r w:rsidRPr="00764096">
        <w:rPr>
          <w:rFonts w:ascii="Times New Roman" w:hAnsi="Times New Roman" w:cs="Times New Roman"/>
          <w:color w:val="FF0000"/>
          <w:sz w:val="22"/>
          <w:szCs w:val="22"/>
          <w:lang w:val="en-US"/>
        </w:rPr>
        <w:t>Mnle</w:t>
      </w:r>
      <w:proofErr w:type="spellEnd"/>
      <w:r w:rsidRPr="00764096">
        <w:rPr>
          <w:rFonts w:ascii="Times New Roman" w:hAnsi="Times New Roman" w:cs="Times New Roman"/>
          <w:color w:val="FF0000"/>
          <w:sz w:val="22"/>
          <w:szCs w:val="22"/>
          <w:lang w:val="en-US"/>
        </w:rPr>
        <w:t>)</w:t>
      </w:r>
      <w:r w:rsidRPr="00764096">
        <w:rPr>
          <w:rFonts w:ascii="Times New Roman" w:hAnsi="Times New Roman" w:cs="Times New Roman"/>
          <w:color w:val="FF0000"/>
          <w:sz w:val="22"/>
          <w:szCs w:val="22"/>
        </w:rPr>
        <w:t xml:space="preserve">: </w:t>
      </w:r>
      <w:r w:rsidRPr="00764096">
        <w:rPr>
          <w:rFonts w:ascii="Times New Roman" w:hAnsi="Times New Roman" w:cs="Times New Roman"/>
          <w:b/>
          <w:color w:val="FF0000"/>
          <w:sz w:val="22"/>
          <w:szCs w:val="22"/>
        </w:rPr>
        <w:t>A</w:t>
      </w:r>
      <w:r w:rsidRPr="00764096">
        <w:rPr>
          <w:rFonts w:ascii="Times New Roman" w:hAnsi="Times New Roman" w:cs="Times New Roman"/>
          <w:color w:val="FF0000"/>
          <w:sz w:val="22"/>
          <w:szCs w:val="22"/>
        </w:rPr>
        <w:t xml:space="preserve">: intracellular soluble fraction (ISF) and purified inclusion bodies (IBs); </w:t>
      </w:r>
      <w:r w:rsidRPr="00764096">
        <w:rPr>
          <w:rFonts w:ascii="Times New Roman" w:hAnsi="Times New Roman" w:cs="Times New Roman"/>
          <w:b/>
          <w:color w:val="FF0000"/>
          <w:sz w:val="22"/>
          <w:szCs w:val="22"/>
        </w:rPr>
        <w:t>B:</w:t>
      </w:r>
      <w:r w:rsidRPr="00764096">
        <w:rPr>
          <w:rFonts w:ascii="Times New Roman" w:hAnsi="Times New Roman" w:cs="Times New Roman"/>
          <w:color w:val="FF0000"/>
          <w:sz w:val="22"/>
          <w:szCs w:val="22"/>
        </w:rPr>
        <w:t xml:space="preserve"> incorporation levels in the purified inclusion bodies for all the cultivation conditions presented in Table 1; </w:t>
      </w:r>
      <w:r w:rsidRPr="00764096">
        <w:rPr>
          <w:rFonts w:ascii="Times New Roman" w:hAnsi="Times New Roman" w:cs="Times New Roman"/>
          <w:b/>
          <w:color w:val="FF0000"/>
          <w:sz w:val="22"/>
          <w:szCs w:val="22"/>
        </w:rPr>
        <w:t>C</w:t>
      </w:r>
      <w:r w:rsidRPr="00764096">
        <w:rPr>
          <w:rFonts w:ascii="Times New Roman" w:hAnsi="Times New Roman" w:cs="Times New Roman"/>
          <w:color w:val="FF0000"/>
          <w:sz w:val="22"/>
          <w:szCs w:val="22"/>
        </w:rPr>
        <w:t xml:space="preserve">: Dynamic profile of norvaline incorporation (both 0.5 </w:t>
      </w:r>
      <w:proofErr w:type="spellStart"/>
      <w:r w:rsidRPr="00764096">
        <w:rPr>
          <w:rFonts w:ascii="Times New Roman" w:hAnsi="Times New Roman" w:cs="Times New Roman"/>
          <w:color w:val="FF0000"/>
          <w:sz w:val="22"/>
          <w:szCs w:val="22"/>
        </w:rPr>
        <w:t>mM</w:t>
      </w:r>
      <w:proofErr w:type="spellEnd"/>
      <w:r w:rsidRPr="00764096">
        <w:rPr>
          <w:rFonts w:ascii="Times New Roman" w:hAnsi="Times New Roman" w:cs="Times New Roman"/>
          <w:color w:val="FF0000"/>
          <w:sz w:val="22"/>
          <w:szCs w:val="22"/>
        </w:rPr>
        <w:t xml:space="preserve"> IPTG) as a function of glucose pulse frequency (1xP and 2xP,). Ref: reference cultivation; 2xP—10 min glucose pulse cultivation; 1xP—5 min glucose pulse cultivation; </w:t>
      </w:r>
      <w:proofErr w:type="spellStart"/>
      <w:r w:rsidRPr="00764096">
        <w:rPr>
          <w:rFonts w:ascii="Times New Roman" w:hAnsi="Times New Roman" w:cs="Times New Roman"/>
          <w:color w:val="FF0000"/>
          <w:sz w:val="22"/>
          <w:szCs w:val="22"/>
        </w:rPr>
        <w:t>Enp</w:t>
      </w:r>
      <w:proofErr w:type="spellEnd"/>
      <w:r w:rsidRPr="00764096">
        <w:rPr>
          <w:rFonts w:ascii="Times New Roman" w:hAnsi="Times New Roman" w:cs="Times New Roman"/>
          <w:color w:val="FF0000"/>
          <w:sz w:val="22"/>
          <w:szCs w:val="22"/>
        </w:rPr>
        <w:t>—cultivation with enzymatic glucose release</w:t>
      </w:r>
      <w:r w:rsidRPr="00764096">
        <w:rPr>
          <w:rFonts w:ascii="Times New Roman" w:hAnsi="Times New Roman" w:cs="Times New Roman"/>
          <w:color w:val="FF0000"/>
          <w:sz w:val="22"/>
          <w:szCs w:val="22"/>
          <w:lang w:val="en-US"/>
        </w:rPr>
        <w:t>.</w:t>
      </w:r>
      <w:r w:rsidRPr="00764096">
        <w:rPr>
          <w:color w:val="FF0000"/>
          <w:sz w:val="22"/>
          <w:szCs w:val="22"/>
          <w:lang w:val="en-US"/>
        </w:rPr>
        <w:t xml:space="preserve"> </w:t>
      </w:r>
    </w:p>
    <w:sectPr w:rsidR="00F57A0F" w:rsidRPr="001A72C0" w:rsidSect="009E67B7">
      <w:pgSz w:w="11900" w:h="16840"/>
      <w:pgMar w:top="1440"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B7"/>
    <w:rsid w:val="00044992"/>
    <w:rsid w:val="00056D27"/>
    <w:rsid w:val="000A2F04"/>
    <w:rsid w:val="000D2860"/>
    <w:rsid w:val="001A0EB7"/>
    <w:rsid w:val="001A72C0"/>
    <w:rsid w:val="001E0C62"/>
    <w:rsid w:val="00222E28"/>
    <w:rsid w:val="002E0A16"/>
    <w:rsid w:val="00335F48"/>
    <w:rsid w:val="0048167C"/>
    <w:rsid w:val="004B6C84"/>
    <w:rsid w:val="004F4877"/>
    <w:rsid w:val="0066067A"/>
    <w:rsid w:val="00670D9F"/>
    <w:rsid w:val="006D10C1"/>
    <w:rsid w:val="00703A66"/>
    <w:rsid w:val="00764096"/>
    <w:rsid w:val="00770E5C"/>
    <w:rsid w:val="007D458E"/>
    <w:rsid w:val="00876B18"/>
    <w:rsid w:val="008D4980"/>
    <w:rsid w:val="009E0ACD"/>
    <w:rsid w:val="009E67B7"/>
    <w:rsid w:val="00A62B7F"/>
    <w:rsid w:val="00B45CA3"/>
    <w:rsid w:val="00BE69D1"/>
    <w:rsid w:val="00CB2B42"/>
    <w:rsid w:val="00CD1658"/>
    <w:rsid w:val="00DE5069"/>
    <w:rsid w:val="00E03684"/>
    <w:rsid w:val="00E32129"/>
    <w:rsid w:val="00E40117"/>
    <w:rsid w:val="00F445F9"/>
    <w:rsid w:val="00F44CE4"/>
    <w:rsid w:val="00F57A0F"/>
    <w:rsid w:val="00FA7C92"/>
    <w:rsid w:val="00FB2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BB8223-27FD-B44B-A8B0-3391B238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7B7"/>
    <w:rPr>
      <w:rFonts w:ascii="Arial" w:eastAsiaTheme="minorEastAsia" w:hAnsi="Arial"/>
    </w:rPr>
  </w:style>
  <w:style w:type="paragraph" w:styleId="Heading2">
    <w:name w:val="heading 2"/>
    <w:basedOn w:val="TOC3"/>
    <w:next w:val="Normal"/>
    <w:link w:val="Heading2Char"/>
    <w:autoRedefine/>
    <w:uiPriority w:val="9"/>
    <w:unhideWhenUsed/>
    <w:qFormat/>
    <w:rsid w:val="000A2F04"/>
    <w:pPr>
      <w:widowControl w:val="0"/>
      <w:tabs>
        <w:tab w:val="left" w:pos="0"/>
        <w:tab w:val="left" w:pos="9500"/>
      </w:tabs>
      <w:spacing w:before="360" w:after="120" w:line="360" w:lineRule="auto"/>
      <w:ind w:left="0"/>
      <w:jc w:val="both"/>
      <w:outlineLvl w:val="1"/>
    </w:pPr>
    <w:rPr>
      <w:rFonts w:cs="Times New Roman"/>
      <w:b/>
      <w:noProo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F04"/>
    <w:rPr>
      <w:rFonts w:cs="Times New Roman"/>
      <w:b/>
      <w:noProof/>
      <w:sz w:val="20"/>
      <w:szCs w:val="22"/>
    </w:rPr>
  </w:style>
  <w:style w:type="paragraph" w:styleId="TOC3">
    <w:name w:val="toc 3"/>
    <w:basedOn w:val="Normal"/>
    <w:next w:val="Normal"/>
    <w:autoRedefine/>
    <w:uiPriority w:val="39"/>
    <w:semiHidden/>
    <w:unhideWhenUsed/>
    <w:rsid w:val="000A2F04"/>
    <w:pPr>
      <w:spacing w:after="100"/>
      <w:ind w:left="480"/>
    </w:pPr>
    <w:rPr>
      <w:rFonts w:asciiTheme="minorHAnsi" w:eastAsiaTheme="minorHAnsi" w:hAnsiTheme="minorHAnsi"/>
    </w:rPr>
  </w:style>
  <w:style w:type="character" w:styleId="LineNumber">
    <w:name w:val="line number"/>
    <w:basedOn w:val="DefaultParagraphFont"/>
    <w:uiPriority w:val="99"/>
    <w:semiHidden/>
    <w:unhideWhenUsed/>
    <w:rsid w:val="009E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Anane</dc:creator>
  <cp:keywords/>
  <dc:description/>
  <cp:lastModifiedBy>Emmanuel Anane</cp:lastModifiedBy>
  <cp:revision>9</cp:revision>
  <dcterms:created xsi:type="dcterms:W3CDTF">2019-04-09T18:57:00Z</dcterms:created>
  <dcterms:modified xsi:type="dcterms:W3CDTF">2019-06-25T05:26:00Z</dcterms:modified>
</cp:coreProperties>
</file>